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912A6" w14:textId="77777777" w:rsidR="00CD4E99" w:rsidRPr="00BD0886" w:rsidRDefault="00CD4E99" w:rsidP="000949B4">
      <w:pPr>
        <w:ind w:firstLine="0"/>
        <w:rPr>
          <w:rFonts w:ascii="Times New Roman" w:hAnsi="Times New Roman"/>
          <w:b/>
          <w:bCs/>
          <w:szCs w:val="24"/>
        </w:rPr>
      </w:pPr>
    </w:p>
    <w:p w14:paraId="76472FCE" w14:textId="77777777" w:rsidR="007B04B7" w:rsidRDefault="009A786B" w:rsidP="009A786B">
      <w:pPr>
        <w:ind w:firstLine="0"/>
        <w:jc w:val="center"/>
        <w:rPr>
          <w:rFonts w:ascii="Times New Roman" w:hAnsi="Times New Roman"/>
          <w:b/>
          <w:bCs/>
          <w:szCs w:val="24"/>
        </w:rPr>
      </w:pPr>
      <w:r>
        <w:rPr>
          <w:rFonts w:ascii="Times New Roman" w:hAnsi="Times New Roman"/>
          <w:b/>
          <w:bCs/>
          <w:szCs w:val="24"/>
        </w:rPr>
        <w:t xml:space="preserve">An Empirical Analysis of the Patent Trial and Appeal Board’s </w:t>
      </w:r>
    </w:p>
    <w:p w14:paraId="01DF50F6" w14:textId="0B813126" w:rsidR="000949B4" w:rsidRDefault="00F42E80" w:rsidP="009A786B">
      <w:pPr>
        <w:ind w:firstLine="0"/>
        <w:jc w:val="center"/>
        <w:rPr>
          <w:rFonts w:ascii="Times New Roman" w:hAnsi="Times New Roman"/>
          <w:b/>
          <w:bCs/>
          <w:szCs w:val="24"/>
        </w:rPr>
      </w:pPr>
      <w:r>
        <w:rPr>
          <w:rFonts w:ascii="Times New Roman" w:hAnsi="Times New Roman"/>
          <w:b/>
          <w:bCs/>
          <w:szCs w:val="24"/>
        </w:rPr>
        <w:t>First Decade</w:t>
      </w:r>
    </w:p>
    <w:p w14:paraId="5FA90324" w14:textId="77777777" w:rsidR="008342F0" w:rsidRDefault="008342F0" w:rsidP="009A786B">
      <w:pPr>
        <w:ind w:firstLine="0"/>
        <w:jc w:val="center"/>
        <w:rPr>
          <w:rFonts w:ascii="Times New Roman" w:hAnsi="Times New Roman"/>
          <w:b/>
          <w:bCs/>
          <w:szCs w:val="24"/>
        </w:rPr>
      </w:pPr>
    </w:p>
    <w:p w14:paraId="0E6031C4" w14:textId="77777777" w:rsidR="00AB2D23" w:rsidRDefault="00AB2D23" w:rsidP="00CF3732">
      <w:pPr>
        <w:ind w:firstLine="0"/>
        <w:rPr>
          <w:rFonts w:ascii="Times New Roman" w:hAnsi="Times New Roman"/>
          <w:color w:val="000000" w:themeColor="text1"/>
          <w:shd w:val="clear" w:color="auto" w:fill="FFFFFF"/>
        </w:rPr>
      </w:pPr>
    </w:p>
    <w:p w14:paraId="343EAD2E" w14:textId="77777777" w:rsidR="00965C6F" w:rsidRPr="00965C6F" w:rsidRDefault="00965C6F" w:rsidP="00965C6F">
      <w:pPr>
        <w:rPr>
          <w:rFonts w:ascii="Times New Roman" w:hAnsi="Times New Roman"/>
          <w:i/>
          <w:iCs/>
          <w:color w:val="000000" w:themeColor="text1"/>
          <w:shd w:val="clear" w:color="auto" w:fill="FFFFFF"/>
        </w:rPr>
      </w:pPr>
      <w:r w:rsidRPr="00965C6F">
        <w:rPr>
          <w:rFonts w:ascii="Times New Roman" w:hAnsi="Times New Roman"/>
          <w:i/>
          <w:iCs/>
          <w:color w:val="000000" w:themeColor="text1"/>
          <w:shd w:val="clear" w:color="auto" w:fill="FFFFFF"/>
        </w:rPr>
        <w:t xml:space="preserve">In 2011, through the American Invents Act (“AIA”), Congress reformed the administrative process by which patent validity can be challenged at the United States Patent and Trademark Office (“USPTO.”). </w:t>
      </w:r>
      <w:proofErr w:type="gramStart"/>
      <w:r w:rsidRPr="00965C6F">
        <w:rPr>
          <w:rFonts w:ascii="Times New Roman" w:hAnsi="Times New Roman"/>
          <w:i/>
          <w:iCs/>
          <w:color w:val="000000" w:themeColor="text1"/>
          <w:shd w:val="clear" w:color="auto" w:fill="FFFFFF"/>
        </w:rPr>
        <w:t>In an effort to</w:t>
      </w:r>
      <w:proofErr w:type="gramEnd"/>
      <w:r w:rsidRPr="00965C6F">
        <w:rPr>
          <w:rFonts w:ascii="Times New Roman" w:hAnsi="Times New Roman"/>
          <w:i/>
          <w:iCs/>
          <w:color w:val="000000" w:themeColor="text1"/>
          <w:shd w:val="clear" w:color="auto" w:fill="FFFFFF"/>
        </w:rPr>
        <w:t xml:space="preserve"> shorten and streamline costly patent litigation in the district courts, the AIA set forth a process known as inter partes review (“IPR”) whereby parties can challenge validity of a patent’s claim at the Patent Trial and Appeal Board (“PTAB”) through a trial-like hearing before a three-judge panel of administrative patent judges (“APJs”). Dispute abounds that this new system has not worked as intended, provoking the ire of small inventors </w:t>
      </w:r>
      <w:proofErr w:type="gramStart"/>
      <w:r w:rsidRPr="00965C6F">
        <w:rPr>
          <w:rFonts w:ascii="Times New Roman" w:hAnsi="Times New Roman"/>
          <w:i/>
          <w:iCs/>
          <w:color w:val="000000" w:themeColor="text1"/>
          <w:shd w:val="clear" w:color="auto" w:fill="FFFFFF"/>
        </w:rPr>
        <w:t>in particular for</w:t>
      </w:r>
      <w:proofErr w:type="gramEnd"/>
      <w:r w:rsidRPr="00965C6F">
        <w:rPr>
          <w:rFonts w:ascii="Times New Roman" w:hAnsi="Times New Roman"/>
          <w:i/>
          <w:iCs/>
          <w:color w:val="000000" w:themeColor="text1"/>
          <w:shd w:val="clear" w:color="auto" w:fill="FFFFFF"/>
        </w:rPr>
        <w:t xml:space="preserve"> the high rate that the PTAB agrees with the petitioner’s challenge on the patent claim’s validity. Over the ensuing decade, the United States Supreme Court has heard and resolved multiple cases concerning the PTAB alone, ultimately upholding the PTAB’s constitutionality in one decision, and more recently in United States v. Arthrex, adjusting the internal decision-making structure of the PTAB by giving the Director of the USPTO the authority to review the PTAB’s decisions on validity in inter partes review proceedings. In addition, concerns about due process and the greater politicization of patent law decision-making </w:t>
      </w:r>
      <w:proofErr w:type="gramStart"/>
      <w:r w:rsidRPr="00965C6F">
        <w:rPr>
          <w:rFonts w:ascii="Times New Roman" w:hAnsi="Times New Roman"/>
          <w:i/>
          <w:iCs/>
          <w:color w:val="000000" w:themeColor="text1"/>
          <w:shd w:val="clear" w:color="auto" w:fill="FFFFFF"/>
        </w:rPr>
        <w:t>has</w:t>
      </w:r>
      <w:proofErr w:type="gramEnd"/>
      <w:r w:rsidRPr="00965C6F">
        <w:rPr>
          <w:rFonts w:ascii="Times New Roman" w:hAnsi="Times New Roman"/>
          <w:i/>
          <w:iCs/>
          <w:color w:val="000000" w:themeColor="text1"/>
          <w:shd w:val="clear" w:color="auto" w:fill="FFFFFF"/>
        </w:rPr>
        <w:t xml:space="preserve"> permeated the debate about how the PTAB operates. Allegations abound that the USPTO Director “stacks” panels to yield certain outcomes as a mechanism of political control.</w:t>
      </w:r>
    </w:p>
    <w:p w14:paraId="6386863D" w14:textId="77777777" w:rsidR="00965C6F" w:rsidRPr="00965C6F" w:rsidRDefault="00965C6F" w:rsidP="00965C6F">
      <w:pPr>
        <w:rPr>
          <w:rFonts w:ascii="Times New Roman" w:hAnsi="Times New Roman"/>
          <w:i/>
          <w:iCs/>
          <w:color w:val="000000" w:themeColor="text1"/>
          <w:shd w:val="clear" w:color="auto" w:fill="FFFFFF"/>
        </w:rPr>
      </w:pPr>
    </w:p>
    <w:p w14:paraId="7F6F2B31" w14:textId="3AD8CBC5" w:rsidR="009A786B" w:rsidRDefault="00965C6F" w:rsidP="00965C6F">
      <w:pPr>
        <w:rPr>
          <w:rFonts w:ascii="Times New Roman" w:hAnsi="Times New Roman"/>
          <w:i/>
          <w:iCs/>
          <w:color w:val="000000" w:themeColor="text1"/>
          <w:shd w:val="clear" w:color="auto" w:fill="FFFFFF"/>
        </w:rPr>
      </w:pPr>
      <w:r w:rsidRPr="00965C6F">
        <w:rPr>
          <w:rFonts w:ascii="Times New Roman" w:hAnsi="Times New Roman"/>
          <w:i/>
          <w:iCs/>
          <w:color w:val="000000" w:themeColor="text1"/>
          <w:shd w:val="clear" w:color="auto" w:fill="FFFFFF"/>
        </w:rPr>
        <w:t xml:space="preserve">Yet, while normative questions swirl about the workability of the PTAB and despite the fact that the PTAB has been issuing decisions for over a decade, we still know very little about how the PTAB actually operates empirically so as to inform debate about how the PTAB should be </w:t>
      </w:r>
      <w:proofErr w:type="gramStart"/>
      <w:r w:rsidRPr="00965C6F">
        <w:rPr>
          <w:rFonts w:ascii="Times New Roman" w:hAnsi="Times New Roman"/>
          <w:i/>
          <w:iCs/>
          <w:color w:val="000000" w:themeColor="text1"/>
          <w:shd w:val="clear" w:color="auto" w:fill="FFFFFF"/>
        </w:rPr>
        <w:t>reformed  nor</w:t>
      </w:r>
      <w:proofErr w:type="gramEnd"/>
      <w:r w:rsidRPr="00965C6F">
        <w:rPr>
          <w:rFonts w:ascii="Times New Roman" w:hAnsi="Times New Roman"/>
          <w:i/>
          <w:iCs/>
          <w:color w:val="000000" w:themeColor="text1"/>
          <w:shd w:val="clear" w:color="auto" w:fill="FFFFFF"/>
        </w:rPr>
        <w:t xml:space="preserve"> has there been much discussion of the interplay between patent and administrative law.  Specifically, the Article explores how these judges generally operating in three-judge panels make decisions on many of the most important innovations underlying our economy over the first decade of the PTAB. Using an </w:t>
      </w:r>
      <w:proofErr w:type="gramStart"/>
      <w:r w:rsidRPr="00965C6F">
        <w:rPr>
          <w:rFonts w:ascii="Times New Roman" w:hAnsi="Times New Roman"/>
          <w:i/>
          <w:iCs/>
          <w:color w:val="000000" w:themeColor="text1"/>
          <w:shd w:val="clear" w:color="auto" w:fill="FFFFFF"/>
        </w:rPr>
        <w:t>originally-constructed</w:t>
      </w:r>
      <w:proofErr w:type="gramEnd"/>
      <w:r w:rsidRPr="00965C6F">
        <w:rPr>
          <w:rFonts w:ascii="Times New Roman" w:hAnsi="Times New Roman"/>
          <w:i/>
          <w:iCs/>
          <w:color w:val="000000" w:themeColor="text1"/>
          <w:shd w:val="clear" w:color="auto" w:fill="FFFFFF"/>
        </w:rPr>
        <w:t xml:space="preserve"> database of over 16,000 patent decisions heard at the PTAB from 2012 through 2024, this Article analyzes how the PTAB makes decisions. In doing so, it challenges some of the conventional wisdom concerning the PTAB using empirics.</w:t>
      </w:r>
    </w:p>
    <w:p w14:paraId="798EFA83" w14:textId="77777777" w:rsidR="00965C6F" w:rsidRPr="00CF3732" w:rsidRDefault="00965C6F" w:rsidP="00965C6F">
      <w:pPr>
        <w:rPr>
          <w:rFonts w:ascii="Times New Roman" w:hAnsi="Times New Roman"/>
          <w:i/>
          <w:iCs/>
          <w:color w:val="000000" w:themeColor="text1"/>
          <w:shd w:val="clear" w:color="auto" w:fill="FFFFFF"/>
        </w:rPr>
      </w:pPr>
    </w:p>
    <w:p w14:paraId="53B155E6" w14:textId="449AA635" w:rsidR="00B601E7" w:rsidRPr="004453E9" w:rsidRDefault="00CF3732" w:rsidP="00593BFF">
      <w:pPr>
        <w:pStyle w:val="ArticleTitle"/>
        <w:ind w:left="2520" w:firstLine="360"/>
        <w:jc w:val="both"/>
        <w:rPr>
          <w:rFonts w:ascii="Times New Roman" w:hAnsi="Times New Roman"/>
          <w:iCs/>
          <w:caps w:val="0"/>
          <w:sz w:val="24"/>
          <w:szCs w:val="24"/>
        </w:rPr>
      </w:pPr>
      <w:r>
        <w:rPr>
          <w:rFonts w:ascii="Times New Roman" w:hAnsi="Times New Roman"/>
          <w:iCs/>
          <w:caps w:val="0"/>
          <w:sz w:val="24"/>
          <w:szCs w:val="24"/>
        </w:rPr>
        <w:t>Introduction</w:t>
      </w:r>
    </w:p>
    <w:p w14:paraId="51AB5EB8" w14:textId="29471320" w:rsidR="00EE4EBE" w:rsidRPr="00BD0886" w:rsidRDefault="006E211A" w:rsidP="00EE4EBE">
      <w:pPr>
        <w:widowControl/>
        <w:spacing w:before="100" w:beforeAutospacing="1" w:after="100" w:afterAutospacing="1"/>
        <w:jc w:val="left"/>
        <w:rPr>
          <w:rFonts w:ascii="Times New Roman" w:hAnsi="Times New Roman"/>
          <w:color w:val="000000"/>
          <w:szCs w:val="24"/>
        </w:rPr>
      </w:pPr>
      <w:r w:rsidRPr="00BD0886">
        <w:rPr>
          <w:rFonts w:ascii="Times New Roman" w:hAnsi="Times New Roman"/>
          <w:color w:val="000000"/>
          <w:szCs w:val="24"/>
        </w:rPr>
        <w:lastRenderedPageBreak/>
        <w:t xml:space="preserve">In June 2021, the Supreme Court issued its long-awaited decision in </w:t>
      </w:r>
      <w:r w:rsidRPr="00BD0886">
        <w:rPr>
          <w:rFonts w:ascii="Times New Roman" w:hAnsi="Times New Roman"/>
          <w:i/>
          <w:iCs/>
          <w:color w:val="000000"/>
          <w:szCs w:val="24"/>
        </w:rPr>
        <w:t>United States v. Arthrex</w:t>
      </w:r>
      <w:r w:rsidR="00347232" w:rsidRPr="00BD0886">
        <w:rPr>
          <w:rFonts w:ascii="Times New Roman" w:hAnsi="Times New Roman"/>
          <w:color w:val="000000"/>
          <w:szCs w:val="24"/>
        </w:rPr>
        <w:t>,</w:t>
      </w:r>
      <w:r w:rsidR="00352ACA" w:rsidRPr="00BD0886">
        <w:rPr>
          <w:rStyle w:val="FootnoteReference"/>
          <w:rFonts w:ascii="Times New Roman" w:hAnsi="Times New Roman"/>
          <w:color w:val="000000"/>
          <w:szCs w:val="24"/>
        </w:rPr>
        <w:footnoteReference w:id="1"/>
      </w:r>
      <w:r w:rsidR="00347232" w:rsidRPr="00BD0886">
        <w:rPr>
          <w:rFonts w:ascii="Times New Roman" w:hAnsi="Times New Roman"/>
          <w:color w:val="000000"/>
          <w:szCs w:val="24"/>
        </w:rPr>
        <w:t xml:space="preserve"> one of </w:t>
      </w:r>
      <w:r w:rsidR="00C25116">
        <w:rPr>
          <w:rFonts w:ascii="Times New Roman" w:hAnsi="Times New Roman"/>
          <w:color w:val="000000"/>
          <w:szCs w:val="24"/>
        </w:rPr>
        <w:t>three</w:t>
      </w:r>
      <w:r w:rsidR="00347232" w:rsidRPr="00BD0886">
        <w:rPr>
          <w:rFonts w:ascii="Times New Roman" w:hAnsi="Times New Roman"/>
          <w:color w:val="000000"/>
          <w:szCs w:val="24"/>
        </w:rPr>
        <w:t xml:space="preserve"> intellectual property decisions handed down th</w:t>
      </w:r>
      <w:r w:rsidR="00053718">
        <w:rPr>
          <w:rFonts w:ascii="Times New Roman" w:hAnsi="Times New Roman"/>
          <w:color w:val="000000"/>
          <w:szCs w:val="24"/>
        </w:rPr>
        <w:t>at</w:t>
      </w:r>
      <w:r w:rsidR="00347232" w:rsidRPr="00BD0886">
        <w:rPr>
          <w:rFonts w:ascii="Times New Roman" w:hAnsi="Times New Roman"/>
          <w:color w:val="000000"/>
          <w:szCs w:val="24"/>
        </w:rPr>
        <w:t xml:space="preserve"> term</w:t>
      </w:r>
      <w:r w:rsidR="00352ACA" w:rsidRPr="00BD0886">
        <w:rPr>
          <w:rFonts w:ascii="Times New Roman" w:hAnsi="Times New Roman"/>
          <w:color w:val="000000"/>
          <w:szCs w:val="24"/>
        </w:rPr>
        <w:t>.</w:t>
      </w:r>
      <w:r w:rsidR="00E038FA" w:rsidRPr="00BD0886">
        <w:rPr>
          <w:rStyle w:val="FootnoteReference"/>
          <w:rFonts w:ascii="Times New Roman" w:hAnsi="Times New Roman"/>
          <w:color w:val="000000"/>
          <w:szCs w:val="24"/>
        </w:rPr>
        <w:footnoteReference w:id="2"/>
      </w:r>
      <w:r w:rsidR="00352ACA" w:rsidRPr="00BD0886">
        <w:rPr>
          <w:rFonts w:ascii="Times New Roman" w:hAnsi="Times New Roman"/>
          <w:color w:val="000000"/>
          <w:szCs w:val="24"/>
        </w:rPr>
        <w:t xml:space="preserve"> In this confusing and split decision, the </w:t>
      </w:r>
      <w:r w:rsidR="00366F98" w:rsidRPr="00BD0886">
        <w:rPr>
          <w:rFonts w:ascii="Times New Roman" w:hAnsi="Times New Roman"/>
          <w:color w:val="000000"/>
          <w:szCs w:val="24"/>
        </w:rPr>
        <w:t xml:space="preserve">controversial </w:t>
      </w:r>
      <w:r w:rsidR="00366F98" w:rsidRPr="00BD0886">
        <w:rPr>
          <w:rFonts w:ascii="Times New Roman" w:hAnsi="Times New Roman"/>
          <w:i/>
          <w:iCs/>
          <w:color w:val="000000"/>
          <w:szCs w:val="24"/>
        </w:rPr>
        <w:t>inter partes</w:t>
      </w:r>
      <w:r w:rsidR="00366F98" w:rsidRPr="00BD0886">
        <w:rPr>
          <w:rFonts w:ascii="Times New Roman" w:hAnsi="Times New Roman"/>
          <w:color w:val="000000"/>
          <w:szCs w:val="24"/>
        </w:rPr>
        <w:t xml:space="preserve"> review proceedings (“IPR”) of </w:t>
      </w:r>
      <w:r w:rsidR="00352ACA" w:rsidRPr="00BD0886">
        <w:rPr>
          <w:rFonts w:ascii="Times New Roman" w:hAnsi="Times New Roman"/>
          <w:color w:val="000000"/>
          <w:szCs w:val="24"/>
        </w:rPr>
        <w:t>the United States Patent and Trademark Office (“USPTO”)’s</w:t>
      </w:r>
      <w:r w:rsidR="00B05F31" w:rsidRPr="00BD0886">
        <w:rPr>
          <w:rFonts w:ascii="Times New Roman" w:hAnsi="Times New Roman"/>
          <w:color w:val="000000"/>
          <w:szCs w:val="24"/>
        </w:rPr>
        <w:t xml:space="preserve"> —</w:t>
      </w:r>
      <w:r w:rsidR="00352ACA" w:rsidRPr="00BD0886">
        <w:rPr>
          <w:rFonts w:ascii="Times New Roman" w:hAnsi="Times New Roman"/>
          <w:color w:val="000000"/>
          <w:szCs w:val="24"/>
        </w:rPr>
        <w:t>the Patent Trial and Appeal Board (“PTAB”)</w:t>
      </w:r>
      <w:r w:rsidR="00B05F31" w:rsidRPr="00BD0886">
        <w:rPr>
          <w:rFonts w:ascii="Times New Roman" w:hAnsi="Times New Roman"/>
          <w:color w:val="000000"/>
          <w:szCs w:val="24"/>
        </w:rPr>
        <w:t xml:space="preserve"> —</w:t>
      </w:r>
      <w:r w:rsidR="00352ACA" w:rsidRPr="00BD0886">
        <w:rPr>
          <w:rFonts w:ascii="Times New Roman" w:hAnsi="Times New Roman"/>
          <w:color w:val="000000"/>
          <w:szCs w:val="24"/>
        </w:rPr>
        <w:t>again survived constitutional challenge</w:t>
      </w:r>
      <w:r w:rsidR="000473D2" w:rsidRPr="00BD0886">
        <w:rPr>
          <w:rFonts w:ascii="Times New Roman" w:hAnsi="Times New Roman"/>
          <w:color w:val="000000"/>
          <w:szCs w:val="24"/>
        </w:rPr>
        <w:t xml:space="preserve">. </w:t>
      </w:r>
      <w:r w:rsidR="00366F98" w:rsidRPr="00BD0886">
        <w:rPr>
          <w:rFonts w:ascii="Times New Roman" w:hAnsi="Times New Roman"/>
          <w:color w:val="000000"/>
          <w:szCs w:val="24"/>
        </w:rPr>
        <w:t>The Court</w:t>
      </w:r>
      <w:r w:rsidR="00352ACA" w:rsidRPr="00BD0886">
        <w:rPr>
          <w:rFonts w:ascii="Times New Roman" w:hAnsi="Times New Roman"/>
          <w:color w:val="000000"/>
          <w:szCs w:val="24"/>
        </w:rPr>
        <w:t xml:space="preserve"> </w:t>
      </w:r>
      <w:r w:rsidR="000473D2" w:rsidRPr="00BD0886">
        <w:rPr>
          <w:rFonts w:ascii="Times New Roman" w:hAnsi="Times New Roman"/>
          <w:color w:val="000000"/>
          <w:szCs w:val="24"/>
        </w:rPr>
        <w:t xml:space="preserve">held </w:t>
      </w:r>
      <w:r w:rsidR="00B94927" w:rsidRPr="00BD0886">
        <w:rPr>
          <w:rFonts w:ascii="Times New Roman" w:hAnsi="Times New Roman"/>
          <w:color w:val="000000"/>
          <w:szCs w:val="24"/>
        </w:rPr>
        <w:t xml:space="preserve">that </w:t>
      </w:r>
      <w:r w:rsidR="00352ACA" w:rsidRPr="00BD0886">
        <w:rPr>
          <w:rFonts w:ascii="Times New Roman" w:hAnsi="Times New Roman"/>
          <w:color w:val="000000"/>
          <w:szCs w:val="24"/>
        </w:rPr>
        <w:t>the agency’s decision-makers</w:t>
      </w:r>
      <w:r w:rsidR="00B05F31" w:rsidRPr="00BD0886">
        <w:rPr>
          <w:rFonts w:ascii="Times New Roman" w:hAnsi="Times New Roman"/>
          <w:color w:val="000000"/>
          <w:szCs w:val="24"/>
        </w:rPr>
        <w:t>—</w:t>
      </w:r>
      <w:r w:rsidR="00352ACA" w:rsidRPr="00BD0886">
        <w:rPr>
          <w:rFonts w:ascii="Times New Roman" w:hAnsi="Times New Roman"/>
          <w:color w:val="000000"/>
          <w:szCs w:val="24"/>
        </w:rPr>
        <w:t>administrative patent judges (“APJs”)</w:t>
      </w:r>
      <w:r w:rsidR="00B05F31" w:rsidRPr="00BD0886">
        <w:rPr>
          <w:rFonts w:ascii="Times New Roman" w:hAnsi="Times New Roman"/>
          <w:color w:val="000000"/>
          <w:szCs w:val="24"/>
        </w:rPr>
        <w:t xml:space="preserve"> —</w:t>
      </w:r>
      <w:r w:rsidR="00352ACA" w:rsidRPr="00BD0886">
        <w:rPr>
          <w:rFonts w:ascii="Times New Roman" w:hAnsi="Times New Roman"/>
          <w:color w:val="000000"/>
          <w:szCs w:val="24"/>
        </w:rPr>
        <w:t>ha</w:t>
      </w:r>
      <w:r w:rsidR="00366F98" w:rsidRPr="00BD0886">
        <w:rPr>
          <w:rFonts w:ascii="Times New Roman" w:hAnsi="Times New Roman"/>
          <w:color w:val="000000"/>
          <w:szCs w:val="24"/>
        </w:rPr>
        <w:t>d in effect</w:t>
      </w:r>
      <w:r w:rsidR="00352ACA" w:rsidRPr="00BD0886">
        <w:rPr>
          <w:rFonts w:ascii="Times New Roman" w:hAnsi="Times New Roman"/>
          <w:color w:val="000000"/>
          <w:szCs w:val="24"/>
        </w:rPr>
        <w:t xml:space="preserve"> unconstitutionally acted as “principal Officers” and thus should have been nominated by the President and confirmed by the Senate.</w:t>
      </w:r>
      <w:r w:rsidR="00352ACA" w:rsidRPr="00BD0886">
        <w:rPr>
          <w:rStyle w:val="FootnoteReference"/>
          <w:rFonts w:ascii="Times New Roman" w:hAnsi="Times New Roman"/>
          <w:color w:val="000000"/>
          <w:szCs w:val="24"/>
        </w:rPr>
        <w:footnoteReference w:id="3"/>
      </w:r>
      <w:r w:rsidR="00352ACA" w:rsidRPr="00BD0886">
        <w:rPr>
          <w:rFonts w:ascii="Times New Roman" w:hAnsi="Times New Roman"/>
          <w:color w:val="000000"/>
          <w:szCs w:val="24"/>
        </w:rPr>
        <w:t xml:space="preserve"> </w:t>
      </w:r>
      <w:r w:rsidR="000473D2" w:rsidRPr="00BD0886">
        <w:rPr>
          <w:rFonts w:ascii="Times New Roman" w:hAnsi="Times New Roman"/>
          <w:color w:val="000000"/>
          <w:szCs w:val="24"/>
        </w:rPr>
        <w:t xml:space="preserve">So as not to dramatically upset the increased role that IPR proceedings have played in the patent law landscape, however, the Court decided contrary to the express statutory text </w:t>
      </w:r>
      <w:r w:rsidR="00366F98" w:rsidRPr="00BD0886">
        <w:rPr>
          <w:rFonts w:ascii="Times New Roman" w:hAnsi="Times New Roman"/>
          <w:color w:val="000000"/>
          <w:szCs w:val="24"/>
        </w:rPr>
        <w:t>to “save” the PTAB by proposing a simple fix. Rather than abolishing the PTAB altogether</w:t>
      </w:r>
      <w:r w:rsidR="008A23CA">
        <w:rPr>
          <w:rFonts w:ascii="Times New Roman" w:hAnsi="Times New Roman"/>
          <w:color w:val="000000"/>
          <w:szCs w:val="24"/>
        </w:rPr>
        <w:t xml:space="preserve"> as the Court could have done in an earlier case</w:t>
      </w:r>
      <w:r w:rsidR="008A23CA">
        <w:rPr>
          <w:rStyle w:val="FootnoteReference"/>
          <w:rFonts w:ascii="Times New Roman" w:hAnsi="Times New Roman"/>
          <w:color w:val="000000"/>
          <w:szCs w:val="24"/>
        </w:rPr>
        <w:footnoteReference w:id="4"/>
      </w:r>
      <w:r w:rsidR="00366F98" w:rsidRPr="00BD0886">
        <w:rPr>
          <w:rFonts w:ascii="Times New Roman" w:hAnsi="Times New Roman"/>
          <w:color w:val="000000"/>
          <w:szCs w:val="24"/>
        </w:rPr>
        <w:t xml:space="preserve"> or leaving it to Congress to propose a legislative solution, a bipartisan wing of the Court decided that any issue regarding constitutional issues under the Appointments Clause could be resolved by giving the Director of the PTO the discretionary power to rehear </w:t>
      </w:r>
      <w:r w:rsidR="00081E4A" w:rsidRPr="00BD0886">
        <w:rPr>
          <w:rFonts w:ascii="Times New Roman" w:hAnsi="Times New Roman"/>
          <w:color w:val="000000"/>
          <w:szCs w:val="24"/>
        </w:rPr>
        <w:t>any of the thousands of three-</w:t>
      </w:r>
      <w:r w:rsidR="00366F98" w:rsidRPr="00BD0886">
        <w:rPr>
          <w:rFonts w:ascii="Times New Roman" w:hAnsi="Times New Roman"/>
          <w:color w:val="000000"/>
          <w:szCs w:val="24"/>
        </w:rPr>
        <w:t>panel decisions</w:t>
      </w:r>
      <w:r w:rsidR="00081E4A" w:rsidRPr="00BD0886">
        <w:rPr>
          <w:rFonts w:ascii="Times New Roman" w:hAnsi="Times New Roman"/>
          <w:color w:val="000000"/>
          <w:szCs w:val="24"/>
        </w:rPr>
        <w:t xml:space="preserve"> the PTAB hears in IPR proceedings each year</w:t>
      </w:r>
      <w:r w:rsidR="00366F98" w:rsidRPr="00BD0886">
        <w:rPr>
          <w:rFonts w:ascii="Times New Roman" w:hAnsi="Times New Roman"/>
          <w:color w:val="000000"/>
          <w:szCs w:val="24"/>
        </w:rPr>
        <w:t>. This fix</w:t>
      </w:r>
      <w:r w:rsidR="004453E9">
        <w:rPr>
          <w:rFonts w:ascii="Times New Roman" w:hAnsi="Times New Roman"/>
          <w:color w:val="000000"/>
          <w:szCs w:val="24"/>
        </w:rPr>
        <w:t xml:space="preserve">, the Court assumed, </w:t>
      </w:r>
      <w:r w:rsidR="00366F98" w:rsidRPr="00BD0886">
        <w:rPr>
          <w:rFonts w:ascii="Times New Roman" w:hAnsi="Times New Roman"/>
          <w:color w:val="000000"/>
          <w:szCs w:val="24"/>
        </w:rPr>
        <w:t>would be an appropriate way to deal with the democratic accountability issues raised in the case.</w:t>
      </w:r>
      <w:r w:rsidR="00352ACA" w:rsidRPr="00BD0886">
        <w:rPr>
          <w:rFonts w:ascii="Times New Roman" w:hAnsi="Times New Roman"/>
          <w:color w:val="000000"/>
          <w:szCs w:val="24"/>
        </w:rPr>
        <w:t xml:space="preserve"> </w:t>
      </w:r>
      <w:r w:rsidR="00B05F31" w:rsidRPr="00BD0886">
        <w:rPr>
          <w:rStyle w:val="FootnoteReference"/>
          <w:rFonts w:ascii="Times New Roman" w:hAnsi="Times New Roman"/>
          <w:color w:val="000000"/>
          <w:szCs w:val="24"/>
        </w:rPr>
        <w:footnoteReference w:id="5"/>
      </w:r>
    </w:p>
    <w:p w14:paraId="575A89B0" w14:textId="7335D85D" w:rsidR="00EE4EBE" w:rsidRPr="00BD0886" w:rsidRDefault="000473D2" w:rsidP="009F5151">
      <w:pPr>
        <w:widowControl/>
        <w:spacing w:before="100" w:beforeAutospacing="1" w:after="100" w:afterAutospacing="1"/>
        <w:jc w:val="left"/>
        <w:rPr>
          <w:rFonts w:ascii="Times New Roman" w:hAnsi="Times New Roman"/>
          <w:color w:val="000000"/>
          <w:szCs w:val="24"/>
        </w:rPr>
      </w:pPr>
      <w:r w:rsidRPr="00BD0886">
        <w:rPr>
          <w:rFonts w:ascii="Times New Roman" w:hAnsi="Times New Roman"/>
          <w:color w:val="000000"/>
          <w:szCs w:val="24"/>
        </w:rPr>
        <w:t xml:space="preserve">The aftermath of </w:t>
      </w:r>
      <w:r w:rsidRPr="00BD0886">
        <w:rPr>
          <w:rFonts w:ascii="Times New Roman" w:hAnsi="Times New Roman"/>
          <w:i/>
          <w:iCs/>
          <w:color w:val="000000"/>
          <w:szCs w:val="24"/>
        </w:rPr>
        <w:t xml:space="preserve">Arthrex </w:t>
      </w:r>
      <w:r w:rsidRPr="00BD0886">
        <w:rPr>
          <w:rFonts w:ascii="Times New Roman" w:hAnsi="Times New Roman"/>
          <w:color w:val="000000"/>
          <w:szCs w:val="24"/>
        </w:rPr>
        <w:t xml:space="preserve">offers the perfect time to reflect on how to reform the PTAB going forward. </w:t>
      </w:r>
      <w:r w:rsidR="00EE4EBE" w:rsidRPr="00BD0886">
        <w:rPr>
          <w:rFonts w:ascii="Times New Roman" w:hAnsi="Times New Roman"/>
          <w:color w:val="000000"/>
          <w:szCs w:val="24"/>
        </w:rPr>
        <w:t xml:space="preserve">Since its existence, the PTAB has </w:t>
      </w:r>
      <w:r w:rsidR="00937629">
        <w:rPr>
          <w:rFonts w:ascii="Times New Roman" w:hAnsi="Times New Roman"/>
          <w:color w:val="000000"/>
          <w:szCs w:val="24"/>
        </w:rPr>
        <w:t>sparked</w:t>
      </w:r>
      <w:r w:rsidR="00EE4EBE" w:rsidRPr="00BD0886">
        <w:rPr>
          <w:rFonts w:ascii="Times New Roman" w:hAnsi="Times New Roman"/>
          <w:color w:val="000000"/>
          <w:szCs w:val="24"/>
        </w:rPr>
        <w:t xml:space="preserve"> controversy. Patent litigation in the district courts can be long, unpredictable, and subject to forum shopping. In addition, the complex nature of patent law and the necessity for judges and juries to understand </w:t>
      </w:r>
      <w:r w:rsidR="00EE4EBE" w:rsidRPr="00BD0886">
        <w:rPr>
          <w:rFonts w:ascii="Times New Roman" w:hAnsi="Times New Roman"/>
          <w:color w:val="000000"/>
          <w:szCs w:val="24"/>
        </w:rPr>
        <w:lastRenderedPageBreak/>
        <w:t>intricate technical details of cases result</w:t>
      </w:r>
      <w:r w:rsidR="00053718">
        <w:rPr>
          <w:rFonts w:ascii="Times New Roman" w:hAnsi="Times New Roman"/>
          <w:color w:val="000000"/>
          <w:szCs w:val="24"/>
        </w:rPr>
        <w:t>s</w:t>
      </w:r>
      <w:r w:rsidR="00EE4EBE" w:rsidRPr="00BD0886">
        <w:rPr>
          <w:rFonts w:ascii="Times New Roman" w:hAnsi="Times New Roman"/>
          <w:color w:val="000000"/>
          <w:szCs w:val="24"/>
        </w:rPr>
        <w:t xml:space="preserve"> in high reversal rates by the United States Court of Appeals for the Federal Circuit, the specialized circuit court that has exclusive jurisdiction over patent appeals. As part of the Leahy-Smith America Invents Act of 2011 (“AIA”),</w:t>
      </w:r>
      <w:r w:rsidR="00A415EC" w:rsidRPr="00BD0886">
        <w:rPr>
          <w:rStyle w:val="FootnoteReference"/>
          <w:rFonts w:ascii="Times New Roman" w:hAnsi="Times New Roman"/>
          <w:color w:val="000000"/>
          <w:szCs w:val="24"/>
        </w:rPr>
        <w:footnoteReference w:id="6"/>
      </w:r>
      <w:r w:rsidR="00C25116">
        <w:rPr>
          <w:rFonts w:ascii="Times New Roman" w:hAnsi="Times New Roman"/>
          <w:color w:val="000000"/>
          <w:szCs w:val="24"/>
        </w:rPr>
        <w:t xml:space="preserve"> </w:t>
      </w:r>
      <w:r w:rsidR="00EE4EBE" w:rsidRPr="00BD0886">
        <w:rPr>
          <w:rFonts w:ascii="Times New Roman" w:hAnsi="Times New Roman"/>
          <w:color w:val="000000"/>
          <w:szCs w:val="24"/>
        </w:rPr>
        <w:t xml:space="preserve">Congress rebuilt the adjudicatory mechanism of the PTO, setting up the PTAB to serve as a non-jury </w:t>
      </w:r>
      <w:r w:rsidR="008535D0">
        <w:rPr>
          <w:rFonts w:ascii="Times New Roman" w:hAnsi="Times New Roman"/>
          <w:color w:val="000000"/>
          <w:szCs w:val="24"/>
        </w:rPr>
        <w:t xml:space="preserve">administrative </w:t>
      </w:r>
      <w:r w:rsidR="00EE4EBE" w:rsidRPr="00BD0886">
        <w:rPr>
          <w:rFonts w:ascii="Times New Roman" w:hAnsi="Times New Roman"/>
          <w:color w:val="000000"/>
          <w:szCs w:val="24"/>
        </w:rPr>
        <w:t xml:space="preserve">alternative to determine </w:t>
      </w:r>
      <w:r w:rsidR="00B94927" w:rsidRPr="00BD0886">
        <w:rPr>
          <w:rFonts w:ascii="Times New Roman" w:hAnsi="Times New Roman"/>
          <w:color w:val="000000"/>
          <w:szCs w:val="24"/>
        </w:rPr>
        <w:t xml:space="preserve">certain </w:t>
      </w:r>
      <w:r w:rsidR="00EE4EBE" w:rsidRPr="00BD0886">
        <w:rPr>
          <w:rFonts w:ascii="Times New Roman" w:hAnsi="Times New Roman"/>
          <w:color w:val="000000"/>
          <w:szCs w:val="24"/>
        </w:rPr>
        <w:t>questions of patent validity that might otherwise occur in the course of federal court patent litigation.</w:t>
      </w:r>
      <w:r w:rsidR="00EE4EBE" w:rsidRPr="00BD0886">
        <w:rPr>
          <w:rStyle w:val="FootnoteReference"/>
          <w:rFonts w:ascii="Times New Roman" w:hAnsi="Times New Roman"/>
          <w:color w:val="000000"/>
          <w:szCs w:val="24"/>
        </w:rPr>
        <w:footnoteReference w:id="7"/>
      </w:r>
      <w:r w:rsidR="00EE4EBE" w:rsidRPr="00BD0886">
        <w:rPr>
          <w:rFonts w:ascii="Times New Roman" w:hAnsi="Times New Roman"/>
          <w:color w:val="000000"/>
          <w:szCs w:val="24"/>
        </w:rPr>
        <w:t xml:space="preserve"> In addition to issues being litigated more quickly and cheaply, it was thought that a revised administrative tribunal would be a more efficient forum whose decision-makers had greater specialized expertise to judge the more difficult legal question of ascertaining whether a patent is invalid.</w:t>
      </w:r>
      <w:r w:rsidR="00EE4EBE" w:rsidRPr="00BD0886">
        <w:rPr>
          <w:rStyle w:val="FootnoteReference"/>
          <w:rFonts w:ascii="Times New Roman" w:hAnsi="Times New Roman"/>
          <w:color w:val="000000"/>
          <w:szCs w:val="24"/>
        </w:rPr>
        <w:footnoteReference w:id="8"/>
      </w:r>
      <w:r w:rsidR="00EE4EBE" w:rsidRPr="00BD0886">
        <w:rPr>
          <w:rFonts w:ascii="Times New Roman" w:hAnsi="Times New Roman"/>
          <w:color w:val="000000"/>
          <w:szCs w:val="24"/>
        </w:rPr>
        <w:t xml:space="preserve"> Since alleging that a patent is invalid can be a defense in an infringement action, it was thought that if patent validity can be adjudged quickly in a separate forum, parties may more quickly settle their district court litigations since then they would only have to litigate infringement issues in the district courts</w:t>
      </w:r>
      <w:r w:rsidR="004453E9">
        <w:rPr>
          <w:rFonts w:ascii="Times New Roman" w:hAnsi="Times New Roman"/>
          <w:color w:val="000000"/>
          <w:szCs w:val="24"/>
        </w:rPr>
        <w:t xml:space="preserve"> as well as only select validity and defense issues that could not be raised in an IPR proceedings</w:t>
      </w:r>
      <w:r w:rsidR="009F5151" w:rsidRPr="00BD0886">
        <w:rPr>
          <w:rFonts w:ascii="Times New Roman" w:hAnsi="Times New Roman"/>
          <w:color w:val="000000"/>
          <w:szCs w:val="24"/>
        </w:rPr>
        <w:t>.</w:t>
      </w:r>
      <w:r w:rsidR="008535D0">
        <w:rPr>
          <w:rStyle w:val="FootnoteReference"/>
          <w:rFonts w:ascii="Times New Roman" w:hAnsi="Times New Roman"/>
          <w:color w:val="000000"/>
          <w:szCs w:val="24"/>
        </w:rPr>
        <w:footnoteReference w:id="9"/>
      </w:r>
      <w:r w:rsidR="00937629">
        <w:rPr>
          <w:rFonts w:ascii="Times New Roman" w:hAnsi="Times New Roman"/>
          <w:color w:val="000000"/>
          <w:szCs w:val="24"/>
        </w:rPr>
        <w:t xml:space="preserve"> This in turn would speed up litigation in the district courts. </w:t>
      </w:r>
    </w:p>
    <w:p w14:paraId="7966B1A4" w14:textId="2E5663C8" w:rsidR="009F5151" w:rsidRPr="00BD0886" w:rsidRDefault="00CF3732" w:rsidP="009F5151">
      <w:pPr>
        <w:widowControl/>
        <w:spacing w:before="100" w:beforeAutospacing="1" w:after="100" w:afterAutospacing="1"/>
        <w:jc w:val="left"/>
        <w:rPr>
          <w:rFonts w:ascii="Times New Roman" w:hAnsi="Times New Roman"/>
          <w:color w:val="000000"/>
          <w:szCs w:val="24"/>
        </w:rPr>
      </w:pPr>
      <w:r>
        <w:rPr>
          <w:rFonts w:ascii="Times New Roman" w:hAnsi="Times New Roman"/>
          <w:color w:val="000000"/>
          <w:szCs w:val="24"/>
        </w:rPr>
        <w:t xml:space="preserve">A decade </w:t>
      </w:r>
      <w:r w:rsidR="009F5151" w:rsidRPr="00BD0886">
        <w:rPr>
          <w:rFonts w:ascii="Times New Roman" w:hAnsi="Times New Roman"/>
          <w:color w:val="000000"/>
          <w:szCs w:val="24"/>
        </w:rPr>
        <w:t xml:space="preserve">later, controversy </w:t>
      </w:r>
      <w:r w:rsidR="003724BB" w:rsidRPr="00BD0886">
        <w:rPr>
          <w:rFonts w:ascii="Times New Roman" w:hAnsi="Times New Roman"/>
          <w:color w:val="000000"/>
          <w:szCs w:val="24"/>
        </w:rPr>
        <w:t xml:space="preserve">still </w:t>
      </w:r>
      <w:r w:rsidR="009F5151" w:rsidRPr="00BD0886">
        <w:rPr>
          <w:rFonts w:ascii="Times New Roman" w:hAnsi="Times New Roman"/>
          <w:color w:val="000000"/>
          <w:szCs w:val="24"/>
        </w:rPr>
        <w:t>surrounds the PTAB</w:t>
      </w:r>
      <w:r w:rsidR="003724BB" w:rsidRPr="00BD0886">
        <w:rPr>
          <w:rFonts w:ascii="Times New Roman" w:hAnsi="Times New Roman"/>
          <w:color w:val="000000"/>
          <w:szCs w:val="24"/>
        </w:rPr>
        <w:t xml:space="preserve"> even post </w:t>
      </w:r>
      <w:r w:rsidR="003724BB" w:rsidRPr="00BD0886">
        <w:rPr>
          <w:rFonts w:ascii="Times New Roman" w:hAnsi="Times New Roman"/>
          <w:i/>
          <w:iCs/>
          <w:color w:val="000000"/>
          <w:szCs w:val="24"/>
        </w:rPr>
        <w:t>Arthrex</w:t>
      </w:r>
      <w:r w:rsidR="009F5151" w:rsidRPr="00BD0886">
        <w:rPr>
          <w:rFonts w:ascii="Times New Roman" w:hAnsi="Times New Roman"/>
          <w:color w:val="000000"/>
          <w:szCs w:val="24"/>
        </w:rPr>
        <w:t xml:space="preserve">. Litigants and judges alike bemoan the PTAB, with one noted Federal Circuit judge even going so far as to give it the nickname of a “death squad,” where patents go to die given the high rate by which the three judge </w:t>
      </w:r>
      <w:r w:rsidR="009F5151" w:rsidRPr="00BD0886">
        <w:rPr>
          <w:rFonts w:ascii="Times New Roman" w:hAnsi="Times New Roman"/>
          <w:color w:val="000000"/>
          <w:szCs w:val="24"/>
        </w:rPr>
        <w:lastRenderedPageBreak/>
        <w:t>panel of decision-makers invalidate patents.</w:t>
      </w:r>
      <w:r w:rsidR="009F5151" w:rsidRPr="00BD0886">
        <w:rPr>
          <w:rStyle w:val="FootnoteReference"/>
          <w:rFonts w:ascii="Times New Roman" w:hAnsi="Times New Roman"/>
          <w:color w:val="000000"/>
          <w:szCs w:val="24"/>
        </w:rPr>
        <w:footnoteReference w:id="10"/>
      </w:r>
      <w:r w:rsidR="009F5151" w:rsidRPr="00BD0886">
        <w:rPr>
          <w:rFonts w:ascii="Times New Roman" w:hAnsi="Times New Roman"/>
          <w:color w:val="000000"/>
          <w:szCs w:val="24"/>
        </w:rPr>
        <w:t xml:space="preserve"> Indeed, depending on the year and subject matter of the patented invention, the PTAB ends up invalidating approximately 70-80% of patents that it receives petitions upon which to rule.</w:t>
      </w:r>
      <w:r w:rsidR="00C25116">
        <w:rPr>
          <w:rStyle w:val="FootnoteReference"/>
          <w:rFonts w:ascii="Times New Roman" w:hAnsi="Times New Roman"/>
          <w:color w:val="000000"/>
          <w:szCs w:val="24"/>
        </w:rPr>
        <w:footnoteReference w:id="11"/>
      </w:r>
      <w:r w:rsidR="009F5151" w:rsidRPr="00BD0886">
        <w:rPr>
          <w:rFonts w:ascii="Times New Roman" w:hAnsi="Times New Roman"/>
          <w:color w:val="000000"/>
          <w:szCs w:val="24"/>
        </w:rPr>
        <w:t xml:space="preserve"> Small inventors, in particular, speak ill of the PTAB, even going so far as to physically burn the physical copies of the patents that they received that were later invalidated by PTAB proceedings. Allegations of bias also abound, with some arguing that APJs have a monetary incentive to rule against a patent’s validity.</w:t>
      </w:r>
      <w:r w:rsidR="009F5151" w:rsidRPr="00BD0886">
        <w:rPr>
          <w:rStyle w:val="FootnoteReference"/>
          <w:rFonts w:ascii="Times New Roman" w:hAnsi="Times New Roman"/>
          <w:color w:val="000000"/>
          <w:szCs w:val="24"/>
        </w:rPr>
        <w:footnoteReference w:id="12"/>
      </w:r>
      <w:r w:rsidR="009F5151" w:rsidRPr="00BD0886">
        <w:rPr>
          <w:rFonts w:ascii="Times New Roman" w:hAnsi="Times New Roman"/>
          <w:color w:val="000000"/>
          <w:szCs w:val="24"/>
        </w:rPr>
        <w:t xml:space="preserve"> </w:t>
      </w:r>
      <w:r w:rsidR="0027674A">
        <w:rPr>
          <w:rFonts w:ascii="Times New Roman" w:hAnsi="Times New Roman"/>
          <w:color w:val="000000"/>
          <w:szCs w:val="24"/>
        </w:rPr>
        <w:t>Others bemoan the conflict of interest concerns that pervade</w:t>
      </w:r>
      <w:r w:rsidR="00053718">
        <w:rPr>
          <w:rFonts w:ascii="Times New Roman" w:hAnsi="Times New Roman"/>
          <w:color w:val="000000"/>
          <w:szCs w:val="24"/>
        </w:rPr>
        <w:t xml:space="preserve"> </w:t>
      </w:r>
      <w:r w:rsidR="0027674A">
        <w:rPr>
          <w:rFonts w:ascii="Times New Roman" w:hAnsi="Times New Roman"/>
          <w:color w:val="000000"/>
          <w:szCs w:val="24"/>
        </w:rPr>
        <w:t xml:space="preserve">PTAB judges, with many previously having represented the very clients appearing before the PTAB, while others serve short stints at the PTAB only to return to representing those very same clients, or, in some cases, even becoming an in house counsel to popular PTAB litigants such as Apple, raising perception problems concerning the judge’s allegiances. </w:t>
      </w:r>
      <w:r w:rsidR="009F5151" w:rsidRPr="00BD0886">
        <w:rPr>
          <w:rFonts w:ascii="Times New Roman" w:hAnsi="Times New Roman"/>
          <w:color w:val="000000"/>
          <w:szCs w:val="24"/>
        </w:rPr>
        <w:t>The opportunity for a</w:t>
      </w:r>
      <w:r w:rsidR="004453E9">
        <w:rPr>
          <w:rFonts w:ascii="Times New Roman" w:hAnsi="Times New Roman"/>
          <w:color w:val="000000"/>
          <w:szCs w:val="24"/>
        </w:rPr>
        <w:t xml:space="preserve"> patentee</w:t>
      </w:r>
      <w:r w:rsidR="000260C2" w:rsidRPr="00BD0886">
        <w:rPr>
          <w:rFonts w:ascii="Times New Roman" w:hAnsi="Times New Roman"/>
          <w:color w:val="000000"/>
          <w:szCs w:val="24"/>
        </w:rPr>
        <w:t xml:space="preserve"> to face serial petitions from different parties on </w:t>
      </w:r>
      <w:r w:rsidR="00A45C79" w:rsidRPr="00BD0886">
        <w:rPr>
          <w:rFonts w:ascii="Times New Roman" w:hAnsi="Times New Roman"/>
          <w:color w:val="000000"/>
          <w:szCs w:val="24"/>
        </w:rPr>
        <w:t>different claims</w:t>
      </w:r>
      <w:r w:rsidR="00957827" w:rsidRPr="00BD0886">
        <w:rPr>
          <w:rStyle w:val="FootnoteReference"/>
          <w:rFonts w:ascii="Times New Roman" w:hAnsi="Times New Roman"/>
          <w:color w:val="000000"/>
          <w:szCs w:val="24"/>
        </w:rPr>
        <w:footnoteReference w:id="13"/>
      </w:r>
      <w:r w:rsidR="00A45C79" w:rsidRPr="00BD0886">
        <w:rPr>
          <w:rFonts w:ascii="Times New Roman" w:hAnsi="Times New Roman"/>
          <w:color w:val="000000"/>
          <w:szCs w:val="24"/>
        </w:rPr>
        <w:t xml:space="preserve"> of their invention </w:t>
      </w:r>
      <w:r w:rsidR="000260C2" w:rsidRPr="00BD0886">
        <w:rPr>
          <w:rFonts w:ascii="Times New Roman" w:hAnsi="Times New Roman"/>
          <w:color w:val="000000"/>
          <w:szCs w:val="24"/>
        </w:rPr>
        <w:t>concerns patentees all the more</w:t>
      </w:r>
      <w:r w:rsidR="00B94927" w:rsidRPr="00BD0886">
        <w:rPr>
          <w:rFonts w:ascii="Times New Roman" w:hAnsi="Times New Roman"/>
          <w:color w:val="000000"/>
          <w:szCs w:val="24"/>
        </w:rPr>
        <w:t>, given the time and effort needed to fight multiple IPR proceedings with different petitioners concerning different parts of their invention</w:t>
      </w:r>
      <w:r w:rsidR="000260C2" w:rsidRPr="00BD0886">
        <w:rPr>
          <w:rFonts w:ascii="Times New Roman" w:hAnsi="Times New Roman"/>
          <w:color w:val="000000"/>
          <w:szCs w:val="24"/>
        </w:rPr>
        <w:t xml:space="preserve">. </w:t>
      </w:r>
      <w:r w:rsidR="00A45C79" w:rsidRPr="00BD0886">
        <w:rPr>
          <w:rFonts w:ascii="Times New Roman" w:hAnsi="Times New Roman"/>
          <w:color w:val="000000"/>
          <w:szCs w:val="24"/>
        </w:rPr>
        <w:t xml:space="preserve">In addition, some have alleged that big companies have used the PTAB to their advantage as a tool to stifle competition. Any party can file a petition in an IPR proceeding, which makes filing a petition an attractive way to target one’s competitors, </w:t>
      </w:r>
      <w:r w:rsidR="00A45C79" w:rsidRPr="00BD0886">
        <w:rPr>
          <w:rFonts w:ascii="Times New Roman" w:hAnsi="Times New Roman"/>
          <w:color w:val="000000"/>
          <w:szCs w:val="24"/>
        </w:rPr>
        <w:lastRenderedPageBreak/>
        <w:t xml:space="preserve">regardless of the merits of the case. </w:t>
      </w:r>
      <w:r w:rsidR="0014672E" w:rsidRPr="00BD0886">
        <w:rPr>
          <w:rFonts w:ascii="Times New Roman" w:hAnsi="Times New Roman"/>
          <w:color w:val="000000"/>
          <w:szCs w:val="24"/>
        </w:rPr>
        <w:t xml:space="preserve">Indeed, </w:t>
      </w:r>
      <w:r w:rsidR="004453E9">
        <w:rPr>
          <w:rFonts w:ascii="Times New Roman" w:hAnsi="Times New Roman"/>
          <w:color w:val="000000"/>
          <w:szCs w:val="24"/>
        </w:rPr>
        <w:t xml:space="preserve">large companies like </w:t>
      </w:r>
      <w:r w:rsidR="0014672E" w:rsidRPr="00BD0886">
        <w:rPr>
          <w:rFonts w:ascii="Times New Roman" w:hAnsi="Times New Roman"/>
          <w:color w:val="000000"/>
          <w:szCs w:val="24"/>
        </w:rPr>
        <w:t xml:space="preserve">Apple </w:t>
      </w:r>
      <w:r w:rsidR="004453E9">
        <w:rPr>
          <w:rFonts w:ascii="Times New Roman" w:hAnsi="Times New Roman"/>
          <w:color w:val="000000"/>
          <w:szCs w:val="24"/>
        </w:rPr>
        <w:t>are some of</w:t>
      </w:r>
      <w:r w:rsidR="0014672E" w:rsidRPr="00BD0886">
        <w:rPr>
          <w:rFonts w:ascii="Times New Roman" w:hAnsi="Times New Roman"/>
          <w:color w:val="000000"/>
          <w:szCs w:val="24"/>
        </w:rPr>
        <w:t xml:space="preserve"> the most prolific filer</w:t>
      </w:r>
      <w:r w:rsidR="00053718">
        <w:rPr>
          <w:rFonts w:ascii="Times New Roman" w:hAnsi="Times New Roman"/>
          <w:color w:val="000000"/>
          <w:szCs w:val="24"/>
        </w:rPr>
        <w:t>s</w:t>
      </w:r>
      <w:r w:rsidR="0014672E" w:rsidRPr="00BD0886">
        <w:rPr>
          <w:rFonts w:ascii="Times New Roman" w:hAnsi="Times New Roman"/>
          <w:color w:val="000000"/>
          <w:szCs w:val="24"/>
        </w:rPr>
        <w:t xml:space="preserve"> of PTAB petitions.</w:t>
      </w:r>
      <w:r w:rsidR="00C25116">
        <w:rPr>
          <w:rStyle w:val="FootnoteReference"/>
          <w:rFonts w:ascii="Times New Roman" w:hAnsi="Times New Roman"/>
          <w:color w:val="000000"/>
          <w:szCs w:val="24"/>
        </w:rPr>
        <w:footnoteReference w:id="14"/>
      </w:r>
      <w:r w:rsidR="0014672E" w:rsidRPr="00BD0886">
        <w:rPr>
          <w:rFonts w:ascii="Times New Roman" w:hAnsi="Times New Roman"/>
          <w:color w:val="000000"/>
          <w:szCs w:val="24"/>
        </w:rPr>
        <w:t xml:space="preserve"> </w:t>
      </w:r>
      <w:r w:rsidR="0027674A">
        <w:rPr>
          <w:rFonts w:ascii="Times New Roman" w:hAnsi="Times New Roman"/>
          <w:color w:val="000000"/>
          <w:szCs w:val="24"/>
        </w:rPr>
        <w:t xml:space="preserve">Together with the conflict of </w:t>
      </w:r>
      <w:proofErr w:type="gramStart"/>
      <w:r w:rsidR="0027674A">
        <w:rPr>
          <w:rFonts w:ascii="Times New Roman" w:hAnsi="Times New Roman"/>
          <w:color w:val="000000"/>
          <w:szCs w:val="24"/>
        </w:rPr>
        <w:t>interests</w:t>
      </w:r>
      <w:proofErr w:type="gramEnd"/>
      <w:r w:rsidR="0027674A">
        <w:rPr>
          <w:rFonts w:ascii="Times New Roman" w:hAnsi="Times New Roman"/>
          <w:color w:val="000000"/>
          <w:szCs w:val="24"/>
        </w:rPr>
        <w:t xml:space="preserve"> issues, there is a sizable part of the inventorship community who look with great distaste at the PTAB, undermining its very legitimacy. </w:t>
      </w:r>
      <w:r w:rsidR="0014672E" w:rsidRPr="00BD0886">
        <w:rPr>
          <w:rFonts w:ascii="Times New Roman" w:hAnsi="Times New Roman"/>
          <w:color w:val="000000"/>
          <w:szCs w:val="24"/>
        </w:rPr>
        <w:t>Rather than being a tool for the small inventor to resolve patent validity issues more quickly, the PTAB has developed in practice to something else entirely.</w:t>
      </w:r>
      <w:r w:rsidR="00C25116">
        <w:rPr>
          <w:rFonts w:ascii="Times New Roman" w:hAnsi="Times New Roman"/>
          <w:color w:val="000000"/>
          <w:szCs w:val="24"/>
        </w:rPr>
        <w:t xml:space="preserve"> </w:t>
      </w:r>
      <w:r w:rsidR="0027674A">
        <w:rPr>
          <w:rFonts w:ascii="Times New Roman" w:hAnsi="Times New Roman"/>
          <w:color w:val="000000"/>
          <w:szCs w:val="24"/>
        </w:rPr>
        <w:t>Indeed</w:t>
      </w:r>
      <w:r w:rsidR="00C25116">
        <w:rPr>
          <w:rFonts w:ascii="Times New Roman" w:hAnsi="Times New Roman"/>
          <w:color w:val="000000"/>
          <w:szCs w:val="24"/>
        </w:rPr>
        <w:t xml:space="preserve">, even if some of the claims about bias </w:t>
      </w:r>
      <w:r w:rsidR="0027674A">
        <w:rPr>
          <w:rFonts w:ascii="Times New Roman" w:hAnsi="Times New Roman"/>
          <w:color w:val="000000"/>
          <w:szCs w:val="24"/>
        </w:rPr>
        <w:t xml:space="preserve">and conflict of interests </w:t>
      </w:r>
      <w:r w:rsidR="00C25116">
        <w:rPr>
          <w:rFonts w:ascii="Times New Roman" w:hAnsi="Times New Roman"/>
          <w:color w:val="000000"/>
          <w:szCs w:val="24"/>
        </w:rPr>
        <w:t xml:space="preserve">lack empirical support, the </w:t>
      </w:r>
      <w:r w:rsidR="00C25116" w:rsidRPr="00C25116">
        <w:rPr>
          <w:rFonts w:ascii="Times New Roman" w:hAnsi="Times New Roman"/>
          <w:i/>
          <w:iCs/>
          <w:color w:val="000000"/>
          <w:szCs w:val="24"/>
        </w:rPr>
        <w:t>very perception</w:t>
      </w:r>
      <w:r w:rsidR="00C25116">
        <w:rPr>
          <w:rFonts w:ascii="Times New Roman" w:hAnsi="Times New Roman"/>
          <w:color w:val="000000"/>
          <w:szCs w:val="24"/>
        </w:rPr>
        <w:t xml:space="preserve"> by a segment of the inventorship community that the PTAB is biased undermines the legitimacy of the institution. </w:t>
      </w:r>
    </w:p>
    <w:p w14:paraId="1C71A318" w14:textId="6BC7D604" w:rsidR="00F747CE" w:rsidRPr="00926CD1" w:rsidRDefault="0014672E" w:rsidP="00926CD1">
      <w:pPr>
        <w:widowControl/>
        <w:spacing w:before="100" w:beforeAutospacing="1" w:after="100" w:afterAutospacing="1"/>
        <w:jc w:val="left"/>
        <w:rPr>
          <w:rFonts w:ascii="Times New Roman" w:hAnsi="Times New Roman"/>
          <w:color w:val="000000"/>
          <w:szCs w:val="24"/>
        </w:rPr>
      </w:pPr>
      <w:r w:rsidRPr="00BD0886">
        <w:rPr>
          <w:color w:val="000000"/>
        </w:rPr>
        <w:t>In addition to behavior by litigants</w:t>
      </w:r>
      <w:r w:rsidR="003724BB" w:rsidRPr="00BD0886">
        <w:rPr>
          <w:color w:val="000000"/>
        </w:rPr>
        <w:t xml:space="preserve"> that altered the initial vision of the PTAB</w:t>
      </w:r>
      <w:r w:rsidRPr="00BD0886">
        <w:rPr>
          <w:color w:val="000000"/>
        </w:rPr>
        <w:t xml:space="preserve">, </w:t>
      </w:r>
      <w:r w:rsidR="00F747CE" w:rsidRPr="00BD0886">
        <w:rPr>
          <w:color w:val="000000"/>
        </w:rPr>
        <w:t xml:space="preserve">several unique features of the administrative machinery of the PTAB and IPR proceedings </w:t>
      </w:r>
      <w:r w:rsidR="004453E9">
        <w:rPr>
          <w:color w:val="000000"/>
        </w:rPr>
        <w:t xml:space="preserve">in particular </w:t>
      </w:r>
      <w:r w:rsidR="00F747CE" w:rsidRPr="00BD0886">
        <w:rPr>
          <w:color w:val="000000"/>
        </w:rPr>
        <w:t>have had unanticipated effects</w:t>
      </w:r>
      <w:r w:rsidR="00AC4B38" w:rsidRPr="00BD0886">
        <w:rPr>
          <w:color w:val="000000"/>
        </w:rPr>
        <w:t xml:space="preserve"> inspired by the strategic behavior of litigants themselves</w:t>
      </w:r>
      <w:r w:rsidR="00F747CE" w:rsidRPr="00BD0886">
        <w:rPr>
          <w:color w:val="000000"/>
        </w:rPr>
        <w:t>. The PTAB has a unique adjudicatory structure</w:t>
      </w:r>
      <w:r w:rsidR="003724BB" w:rsidRPr="00BD0886">
        <w:rPr>
          <w:color w:val="000000"/>
        </w:rPr>
        <w:t xml:space="preserve"> that is different</w:t>
      </w:r>
      <w:r w:rsidR="00F10290">
        <w:rPr>
          <w:color w:val="000000"/>
        </w:rPr>
        <w:t xml:space="preserve"> in some respects</w:t>
      </w:r>
      <w:r w:rsidR="003724BB" w:rsidRPr="00BD0886">
        <w:rPr>
          <w:color w:val="000000"/>
        </w:rPr>
        <w:t xml:space="preserve"> from others in the administrative state</w:t>
      </w:r>
      <w:r w:rsidR="00F10290">
        <w:rPr>
          <w:color w:val="000000"/>
        </w:rPr>
        <w:t>, as detailed by Christopher Walker and Melissa Wasserman in their seminal article on the “lost world” of agency adjudication</w:t>
      </w:r>
      <w:r w:rsidR="00F747CE" w:rsidRPr="00BD0886">
        <w:rPr>
          <w:color w:val="000000"/>
        </w:rPr>
        <w:t>.</w:t>
      </w:r>
      <w:r w:rsidR="00F10290">
        <w:rPr>
          <w:rStyle w:val="FootnoteReference"/>
          <w:color w:val="000000"/>
        </w:rPr>
        <w:footnoteReference w:id="15"/>
      </w:r>
      <w:r w:rsidR="00957827" w:rsidRPr="00BD0886">
        <w:rPr>
          <w:color w:val="000000"/>
        </w:rPr>
        <w:t xml:space="preserve"> </w:t>
      </w:r>
      <w:r w:rsidR="00F747CE" w:rsidRPr="00BD0886">
        <w:rPr>
          <w:color w:val="000000"/>
        </w:rPr>
        <w:t>Unlike other agencies</w:t>
      </w:r>
      <w:r w:rsidR="001B60F0" w:rsidRPr="00BD0886">
        <w:rPr>
          <w:color w:val="000000"/>
        </w:rPr>
        <w:t xml:space="preserve"> and the federal courts where cases are generally randomly assigned</w:t>
      </w:r>
      <w:r w:rsidR="00D504AA">
        <w:rPr>
          <w:color w:val="000000"/>
        </w:rPr>
        <w:t xml:space="preserve"> such as is the case for</w:t>
      </w:r>
      <w:r w:rsidR="004453E9">
        <w:rPr>
          <w:color w:val="000000"/>
        </w:rPr>
        <w:t xml:space="preserve"> agencies relying on administrative law judges (“</w:t>
      </w:r>
      <w:r w:rsidR="00D504AA">
        <w:rPr>
          <w:color w:val="000000"/>
        </w:rPr>
        <w:t>ALJs</w:t>
      </w:r>
      <w:r w:rsidR="004453E9">
        <w:rPr>
          <w:color w:val="000000"/>
        </w:rPr>
        <w:t>”)</w:t>
      </w:r>
      <w:r w:rsidR="00F747CE" w:rsidRPr="00BD0886">
        <w:rPr>
          <w:color w:val="000000"/>
        </w:rPr>
        <w:t>,</w:t>
      </w:r>
      <w:r w:rsidR="00D504AA">
        <w:rPr>
          <w:rStyle w:val="FootnoteReference"/>
          <w:color w:val="000000"/>
        </w:rPr>
        <w:footnoteReference w:id="16"/>
      </w:r>
      <w:r w:rsidR="00E451EC" w:rsidRPr="00BD0886">
        <w:rPr>
          <w:color w:val="000000"/>
        </w:rPr>
        <w:t xml:space="preserve"> the PTAB</w:t>
      </w:r>
      <w:r w:rsidR="00F747CE" w:rsidRPr="00BD0886">
        <w:rPr>
          <w:color w:val="000000"/>
        </w:rPr>
        <w:t xml:space="preserve"> was deliberately set up so that the Director would not have the power to review decisions of the PTAB directly. To compensate for this difference and to ensure a measure of political accountability, </w:t>
      </w:r>
      <w:r w:rsidR="003724BB" w:rsidRPr="00BD0886">
        <w:rPr>
          <w:color w:val="000000"/>
        </w:rPr>
        <w:t>the Director would have the power to supervise decisions and ensure uniformity by “panel stacking.”</w:t>
      </w:r>
      <w:r w:rsidR="00F8076B" w:rsidRPr="00BD0886">
        <w:rPr>
          <w:rStyle w:val="FootnoteReference"/>
          <w:color w:val="000000"/>
        </w:rPr>
        <w:footnoteReference w:id="17"/>
      </w:r>
      <w:r w:rsidR="003724BB" w:rsidRPr="00BD0886">
        <w:rPr>
          <w:color w:val="000000"/>
        </w:rPr>
        <w:t xml:space="preserve"> An IPR decision occurs in two phrases.</w:t>
      </w:r>
      <w:r w:rsidR="003F5D68">
        <w:rPr>
          <w:rStyle w:val="FootnoteReference"/>
          <w:color w:val="000000"/>
        </w:rPr>
        <w:footnoteReference w:id="18"/>
      </w:r>
      <w:r w:rsidR="003724BB" w:rsidRPr="00BD0886">
        <w:rPr>
          <w:color w:val="000000"/>
        </w:rPr>
        <w:t xml:space="preserve"> First, a </w:t>
      </w:r>
      <w:proofErr w:type="gramStart"/>
      <w:r w:rsidR="003724BB" w:rsidRPr="00BD0886">
        <w:rPr>
          <w:color w:val="000000"/>
        </w:rPr>
        <w:t>three judge</w:t>
      </w:r>
      <w:proofErr w:type="gramEnd"/>
      <w:r w:rsidR="003724BB" w:rsidRPr="00BD0886">
        <w:rPr>
          <w:color w:val="000000"/>
        </w:rPr>
        <w:t xml:space="preserve"> panel decides whether to even hear the merits of a petition by deciding whether or not to “institute” an IPR. If it declines to institute, the case is over</w:t>
      </w:r>
      <w:r w:rsidR="008744EC">
        <w:rPr>
          <w:color w:val="000000"/>
        </w:rPr>
        <w:t>, with this decision being unreviewable by the courts</w:t>
      </w:r>
      <w:r w:rsidR="003724BB" w:rsidRPr="00BD0886">
        <w:rPr>
          <w:color w:val="000000"/>
        </w:rPr>
        <w:t xml:space="preserve">. If it institutes, usually the same </w:t>
      </w:r>
      <w:r w:rsidR="003147ED" w:rsidRPr="00BD0886">
        <w:rPr>
          <w:color w:val="000000"/>
        </w:rPr>
        <w:t xml:space="preserve">three </w:t>
      </w:r>
      <w:r w:rsidR="003724BB" w:rsidRPr="00BD0886">
        <w:rPr>
          <w:color w:val="000000"/>
        </w:rPr>
        <w:t xml:space="preserve">panel goes on to hear the merits of the case. At any stage along this process, the Director can substitute out one or more panel members. </w:t>
      </w:r>
      <w:r w:rsidR="001B60F0" w:rsidRPr="00BD0886">
        <w:rPr>
          <w:color w:val="000000"/>
        </w:rPr>
        <w:t xml:space="preserve"> </w:t>
      </w:r>
      <w:r w:rsidR="003147ED" w:rsidRPr="00BD0886">
        <w:rPr>
          <w:color w:val="000000"/>
        </w:rPr>
        <w:t xml:space="preserve">This power, the PTO alleged in its briefing in </w:t>
      </w:r>
      <w:r w:rsidR="003147ED" w:rsidRPr="00937629">
        <w:rPr>
          <w:i/>
          <w:iCs/>
          <w:color w:val="000000"/>
        </w:rPr>
        <w:t>Arthrex</w:t>
      </w:r>
      <w:r w:rsidR="003147ED" w:rsidRPr="00BD0886">
        <w:rPr>
          <w:color w:val="000000"/>
        </w:rPr>
        <w:t>, was seen as a means of political control. The</w:t>
      </w:r>
      <w:r w:rsidR="00B94927" w:rsidRPr="00BD0886">
        <w:rPr>
          <w:color w:val="000000"/>
        </w:rPr>
        <w:t xml:space="preserve"> Court in</w:t>
      </w:r>
      <w:r w:rsidR="003147ED" w:rsidRPr="00BD0886">
        <w:rPr>
          <w:color w:val="000000"/>
        </w:rPr>
        <w:t xml:space="preserve"> </w:t>
      </w:r>
      <w:r w:rsidR="003147ED" w:rsidRPr="00937629">
        <w:rPr>
          <w:i/>
          <w:iCs/>
          <w:color w:val="000000"/>
        </w:rPr>
        <w:t>Arthrex</w:t>
      </w:r>
      <w:r w:rsidR="003147ED" w:rsidRPr="00BD0886">
        <w:rPr>
          <w:color w:val="000000"/>
        </w:rPr>
        <w:t xml:space="preserve"> </w:t>
      </w:r>
      <w:r w:rsidR="00B94927" w:rsidRPr="00BD0886">
        <w:rPr>
          <w:color w:val="000000"/>
        </w:rPr>
        <w:t>disagreed</w:t>
      </w:r>
      <w:r w:rsidR="008E38D5" w:rsidRPr="00BD0886">
        <w:rPr>
          <w:color w:val="000000"/>
        </w:rPr>
        <w:t>, making clear that panel stacking was not a sufficient means of control</w:t>
      </w:r>
      <w:r w:rsidR="00E451EC" w:rsidRPr="00BD0886">
        <w:rPr>
          <w:color w:val="000000"/>
        </w:rPr>
        <w:t xml:space="preserve">; the PTO Director also needed to have </w:t>
      </w:r>
      <w:r w:rsidR="00E451EC" w:rsidRPr="00BD0886">
        <w:rPr>
          <w:color w:val="000000"/>
        </w:rPr>
        <w:lastRenderedPageBreak/>
        <w:t>the discretionary power to rehear those petitions</w:t>
      </w:r>
      <w:r w:rsidR="008E38D5" w:rsidRPr="00BD0886">
        <w:rPr>
          <w:color w:val="000000"/>
        </w:rPr>
        <w:t xml:space="preserve">. </w:t>
      </w:r>
      <w:r w:rsidR="00C63BAA" w:rsidRPr="00BD0886">
        <w:rPr>
          <w:color w:val="000000"/>
        </w:rPr>
        <w:t>As another mechanism of control, the PTO Director can designate one or more opinions of a panel as “precedential</w:t>
      </w:r>
      <w:r w:rsidR="00D4505D" w:rsidRPr="00BD0886">
        <w:rPr>
          <w:color w:val="000000"/>
        </w:rPr>
        <w:t>.</w:t>
      </w:r>
      <w:r w:rsidR="00926CD1">
        <w:rPr>
          <w:color w:val="000000"/>
        </w:rPr>
        <w:t xml:space="preserve">” </w:t>
      </w:r>
      <w:r w:rsidR="003825DD">
        <w:rPr>
          <w:color w:val="000000"/>
        </w:rPr>
        <w:t xml:space="preserve">Other differences abound too; PTAB cases are heard by APJs, not ALJs, and thus enjoy less protection and job security. </w:t>
      </w:r>
      <w:r w:rsidR="00926CD1">
        <w:rPr>
          <w:rFonts w:ascii="Times New Roman" w:hAnsi="Times New Roman"/>
          <w:color w:val="000000"/>
          <w:szCs w:val="24"/>
        </w:rPr>
        <w:t>As I note later in the Article, many of the problems at the PTAB are self-created and could be easily resolved by using other tools of political control</w:t>
      </w:r>
      <w:r w:rsidR="003825DD">
        <w:rPr>
          <w:rFonts w:ascii="Times New Roman" w:hAnsi="Times New Roman"/>
          <w:color w:val="000000"/>
          <w:szCs w:val="24"/>
        </w:rPr>
        <w:t xml:space="preserve"> or by altering parts of the agency itself</w:t>
      </w:r>
      <w:r w:rsidR="00926CD1">
        <w:rPr>
          <w:rFonts w:ascii="Times New Roman" w:hAnsi="Times New Roman"/>
          <w:color w:val="000000"/>
          <w:szCs w:val="24"/>
        </w:rPr>
        <w:t>. For example, instead of using “panel stacking,” which is probably rarely used in actuality anyway</w:t>
      </w:r>
      <w:r w:rsidR="00B63609">
        <w:rPr>
          <w:rFonts w:ascii="Times New Roman" w:hAnsi="Times New Roman"/>
          <w:color w:val="000000"/>
          <w:szCs w:val="24"/>
        </w:rPr>
        <w:t xml:space="preserve"> to little practical effect</w:t>
      </w:r>
      <w:r w:rsidR="00926CD1">
        <w:rPr>
          <w:rFonts w:ascii="Times New Roman" w:hAnsi="Times New Roman"/>
          <w:color w:val="000000"/>
          <w:szCs w:val="24"/>
        </w:rPr>
        <w:t xml:space="preserve">, the PTAB instead could rely more on rulemaking or designating opinions as precedential instead. </w:t>
      </w:r>
      <w:r w:rsidR="00C63BAA" w:rsidRPr="00BD0886">
        <w:rPr>
          <w:color w:val="000000"/>
        </w:rPr>
        <w:t xml:space="preserve"> </w:t>
      </w:r>
    </w:p>
    <w:p w14:paraId="3015735A" w14:textId="77777777" w:rsidR="00CF3732" w:rsidRDefault="00B94927" w:rsidP="00CF3732">
      <w:pPr>
        <w:widowControl/>
        <w:spacing w:before="100" w:beforeAutospacing="1" w:after="100" w:afterAutospacing="1"/>
        <w:jc w:val="left"/>
        <w:rPr>
          <w:rFonts w:ascii="Times New Roman" w:hAnsi="Times New Roman"/>
          <w:color w:val="000000"/>
          <w:szCs w:val="24"/>
        </w:rPr>
      </w:pPr>
      <w:r w:rsidRPr="00BD0886">
        <w:rPr>
          <w:rFonts w:ascii="Times New Roman" w:hAnsi="Times New Roman"/>
          <w:color w:val="000000"/>
          <w:szCs w:val="24"/>
        </w:rPr>
        <w:t>Further</w:t>
      </w:r>
      <w:r w:rsidR="0059385F" w:rsidRPr="00BD0886">
        <w:rPr>
          <w:rFonts w:ascii="Times New Roman" w:hAnsi="Times New Roman"/>
          <w:color w:val="000000"/>
          <w:szCs w:val="24"/>
        </w:rPr>
        <w:t xml:space="preserve">, the </w:t>
      </w:r>
      <w:r w:rsidR="0059385F" w:rsidRPr="00276D56">
        <w:rPr>
          <w:rFonts w:ascii="Times New Roman" w:hAnsi="Times New Roman"/>
          <w:i/>
          <w:iCs/>
          <w:color w:val="000000"/>
          <w:szCs w:val="24"/>
        </w:rPr>
        <w:t>Arthrex</w:t>
      </w:r>
      <w:r w:rsidR="0059385F" w:rsidRPr="00BD0886">
        <w:rPr>
          <w:rFonts w:ascii="Times New Roman" w:hAnsi="Times New Roman"/>
          <w:color w:val="000000"/>
          <w:szCs w:val="24"/>
        </w:rPr>
        <w:t xml:space="preserve"> decision makes explicit what has long been implicit</w:t>
      </w:r>
      <w:r w:rsidR="00E411F6">
        <w:rPr>
          <w:rFonts w:ascii="Times New Roman" w:hAnsi="Times New Roman"/>
          <w:color w:val="000000"/>
          <w:szCs w:val="24"/>
        </w:rPr>
        <w:t xml:space="preserve">: </w:t>
      </w:r>
      <w:r w:rsidR="0059385F" w:rsidRPr="00BD0886">
        <w:rPr>
          <w:rFonts w:ascii="Times New Roman" w:hAnsi="Times New Roman"/>
          <w:color w:val="000000"/>
          <w:szCs w:val="24"/>
        </w:rPr>
        <w:t xml:space="preserve">the </w:t>
      </w:r>
      <w:r w:rsidR="007C534E">
        <w:rPr>
          <w:rFonts w:ascii="Times New Roman" w:hAnsi="Times New Roman"/>
          <w:color w:val="000000"/>
          <w:szCs w:val="24"/>
        </w:rPr>
        <w:t xml:space="preserve">possibility that patent law, like many other areas of law, can be </w:t>
      </w:r>
      <w:r w:rsidR="0059385F" w:rsidRPr="00BD0886">
        <w:rPr>
          <w:rFonts w:ascii="Times New Roman" w:hAnsi="Times New Roman"/>
          <w:color w:val="000000"/>
          <w:szCs w:val="24"/>
        </w:rPr>
        <w:t xml:space="preserve">politicized. </w:t>
      </w:r>
      <w:r w:rsidR="003825DD">
        <w:rPr>
          <w:rFonts w:ascii="Times New Roman" w:hAnsi="Times New Roman"/>
          <w:color w:val="000000"/>
          <w:szCs w:val="24"/>
        </w:rPr>
        <w:t xml:space="preserve">The rich literature on Supreme Court and federal court decision-making has long focused on the role that political party has in influencing case outcomes, as well as the role that demographic factors like race or gender play in impacting decisions. How exactly cases are decided in the administrative state is </w:t>
      </w:r>
      <w:proofErr w:type="spellStart"/>
      <w:r w:rsidR="003825DD">
        <w:rPr>
          <w:rFonts w:ascii="Times New Roman" w:hAnsi="Times New Roman"/>
          <w:color w:val="000000"/>
          <w:szCs w:val="24"/>
        </w:rPr>
        <w:t>underanalyzed</w:t>
      </w:r>
      <w:proofErr w:type="spellEnd"/>
      <w:r w:rsidR="003825DD">
        <w:rPr>
          <w:rFonts w:ascii="Times New Roman" w:hAnsi="Times New Roman"/>
          <w:color w:val="000000"/>
          <w:szCs w:val="24"/>
        </w:rPr>
        <w:t xml:space="preserve">. </w:t>
      </w:r>
      <w:r w:rsidRPr="00BD0886">
        <w:rPr>
          <w:rFonts w:ascii="Times New Roman" w:hAnsi="Times New Roman"/>
          <w:color w:val="000000"/>
          <w:szCs w:val="24"/>
        </w:rPr>
        <w:t>T</w:t>
      </w:r>
      <w:r w:rsidR="0059385F" w:rsidRPr="00BD0886">
        <w:rPr>
          <w:rFonts w:ascii="Times New Roman" w:hAnsi="Times New Roman"/>
          <w:color w:val="000000"/>
          <w:szCs w:val="24"/>
        </w:rPr>
        <w:t xml:space="preserve">he </w:t>
      </w:r>
      <w:r w:rsidR="0059385F" w:rsidRPr="00E411F6">
        <w:rPr>
          <w:rFonts w:ascii="Times New Roman" w:hAnsi="Times New Roman"/>
          <w:i/>
          <w:iCs/>
          <w:color w:val="000000"/>
          <w:szCs w:val="24"/>
        </w:rPr>
        <w:t>Arthrex</w:t>
      </w:r>
      <w:r w:rsidR="0059385F" w:rsidRPr="00BD0886">
        <w:rPr>
          <w:rFonts w:ascii="Times New Roman" w:hAnsi="Times New Roman"/>
          <w:color w:val="000000"/>
          <w:szCs w:val="24"/>
        </w:rPr>
        <w:t xml:space="preserve"> decision sets the stage for greater transparency</w:t>
      </w:r>
      <w:r w:rsidR="00473AB0" w:rsidRPr="00BD0886">
        <w:rPr>
          <w:rFonts w:ascii="Times New Roman" w:hAnsi="Times New Roman"/>
          <w:color w:val="000000"/>
          <w:szCs w:val="24"/>
        </w:rPr>
        <w:t xml:space="preserve"> (since the decision to rehear will be express)</w:t>
      </w:r>
      <w:r w:rsidR="0059385F" w:rsidRPr="00BD0886">
        <w:rPr>
          <w:rFonts w:ascii="Times New Roman" w:hAnsi="Times New Roman"/>
          <w:color w:val="000000"/>
          <w:szCs w:val="24"/>
        </w:rPr>
        <w:t xml:space="preserve"> but </w:t>
      </w:r>
      <w:r w:rsidR="00473AB0" w:rsidRPr="00BD0886">
        <w:rPr>
          <w:rFonts w:ascii="Times New Roman" w:hAnsi="Times New Roman"/>
          <w:color w:val="000000"/>
          <w:szCs w:val="24"/>
        </w:rPr>
        <w:t xml:space="preserve">it </w:t>
      </w:r>
      <w:r w:rsidR="0059385F" w:rsidRPr="00BD0886">
        <w:rPr>
          <w:rFonts w:ascii="Times New Roman" w:hAnsi="Times New Roman"/>
          <w:color w:val="000000"/>
          <w:szCs w:val="24"/>
        </w:rPr>
        <w:t>also presents the opportunity for further abuse</w:t>
      </w:r>
      <w:r w:rsidR="003825DD">
        <w:rPr>
          <w:rFonts w:ascii="Times New Roman" w:hAnsi="Times New Roman"/>
          <w:color w:val="000000"/>
          <w:szCs w:val="24"/>
        </w:rPr>
        <w:t xml:space="preserve"> so understanding how cases are decided is important</w:t>
      </w:r>
      <w:r w:rsidR="0059385F" w:rsidRPr="00BD0886">
        <w:rPr>
          <w:rFonts w:ascii="Times New Roman" w:hAnsi="Times New Roman"/>
          <w:color w:val="000000"/>
          <w:szCs w:val="24"/>
        </w:rPr>
        <w:t>. The Supreme Court’s remedy—giving the PTO Director the discretionary power to unilaterally review thousands of PTAB decisions on a rehearing—injects greater political accountability while also cementing the gradual shift of power away from the courts to the agency in the form of immense power now being able to be wielded by a single individual—the PTO Director.</w:t>
      </w:r>
      <w:r w:rsidR="000F5A53" w:rsidRPr="00BD0886">
        <w:rPr>
          <w:rFonts w:ascii="Times New Roman" w:hAnsi="Times New Roman"/>
          <w:color w:val="000000"/>
          <w:szCs w:val="24"/>
        </w:rPr>
        <w:t xml:space="preserve"> As Justice Gorsuch’s dissent in </w:t>
      </w:r>
      <w:r w:rsidR="000F5A53" w:rsidRPr="008744EC">
        <w:rPr>
          <w:rFonts w:ascii="Times New Roman" w:hAnsi="Times New Roman"/>
          <w:i/>
          <w:iCs/>
          <w:color w:val="000000"/>
          <w:szCs w:val="24"/>
        </w:rPr>
        <w:t>Arthrex</w:t>
      </w:r>
      <w:r w:rsidR="000F5A53" w:rsidRPr="00BD0886">
        <w:rPr>
          <w:rFonts w:ascii="Times New Roman" w:hAnsi="Times New Roman"/>
          <w:color w:val="000000"/>
          <w:szCs w:val="24"/>
        </w:rPr>
        <w:t xml:space="preserve"> makes clear, it sparks concerns </w:t>
      </w:r>
      <w:r w:rsidR="00E451EC" w:rsidRPr="00BD0886">
        <w:rPr>
          <w:rFonts w:ascii="Times New Roman" w:hAnsi="Times New Roman"/>
          <w:color w:val="000000"/>
          <w:szCs w:val="24"/>
        </w:rPr>
        <w:t>that the Director could be improperly influenced</w:t>
      </w:r>
      <w:r w:rsidR="000F5A53" w:rsidRPr="00BD0886">
        <w:rPr>
          <w:rFonts w:ascii="Times New Roman" w:hAnsi="Times New Roman"/>
          <w:color w:val="000000"/>
          <w:szCs w:val="24"/>
        </w:rPr>
        <w:t xml:space="preserve">, with one individual – the PTO Director – wielding so much power to judge the rights of billions of dollars of inventors. </w:t>
      </w:r>
      <w:r w:rsidR="00CF3732">
        <w:rPr>
          <w:rFonts w:ascii="Times New Roman" w:hAnsi="Times New Roman"/>
          <w:color w:val="000000"/>
          <w:szCs w:val="24"/>
        </w:rPr>
        <w:t>‘</w:t>
      </w:r>
    </w:p>
    <w:p w14:paraId="518EBB8E" w14:textId="7C3AC5B7" w:rsidR="007342DE" w:rsidRPr="00CF3732" w:rsidRDefault="003825DD" w:rsidP="00CF3732">
      <w:pPr>
        <w:widowControl/>
        <w:spacing w:before="100" w:beforeAutospacing="1" w:after="100" w:afterAutospacing="1"/>
        <w:jc w:val="left"/>
        <w:rPr>
          <w:rFonts w:ascii="Times New Roman" w:hAnsi="Times New Roman"/>
          <w:color w:val="000000"/>
          <w:szCs w:val="24"/>
        </w:rPr>
      </w:pPr>
      <w:r>
        <w:rPr>
          <w:rFonts w:ascii="Times New Roman" w:hAnsi="Times New Roman"/>
          <w:color w:val="000000"/>
          <w:szCs w:val="24"/>
        </w:rPr>
        <w:t>As such, to understand how the PTAB makes decisions now will yield insight into what factors influence decision-making. The statistical analysis in the Article detailing how the presiding judge make</w:t>
      </w:r>
      <w:r w:rsidR="00B63609">
        <w:rPr>
          <w:rFonts w:ascii="Times New Roman" w:hAnsi="Times New Roman"/>
          <w:color w:val="000000"/>
          <w:szCs w:val="24"/>
        </w:rPr>
        <w:t>s</w:t>
      </w:r>
      <w:r>
        <w:rPr>
          <w:rFonts w:ascii="Times New Roman" w:hAnsi="Times New Roman"/>
          <w:color w:val="000000"/>
          <w:szCs w:val="24"/>
        </w:rPr>
        <w:t xml:space="preserve"> decisions indicate that it is less judge demographics than the scientific field of invention, the patentee or petitioner entity status (such as whether they are a small entity or a patent assertion entity) as well as the statutory section challenged that may impact decisions the most. But </w:t>
      </w:r>
      <w:r w:rsidR="00F10290">
        <w:rPr>
          <w:rFonts w:ascii="Times New Roman" w:hAnsi="Times New Roman"/>
          <w:color w:val="000000"/>
          <w:szCs w:val="24"/>
        </w:rPr>
        <w:t>this</w:t>
      </w:r>
      <w:r>
        <w:rPr>
          <w:rFonts w:ascii="Times New Roman" w:hAnsi="Times New Roman"/>
          <w:color w:val="000000"/>
          <w:szCs w:val="24"/>
        </w:rPr>
        <w:t xml:space="preserve"> could also be where personal predilections creep into decision-making. For example, how the judge or the Director feels about </w:t>
      </w:r>
      <w:r w:rsidR="00053718">
        <w:rPr>
          <w:rFonts w:ascii="Times New Roman" w:hAnsi="Times New Roman"/>
          <w:color w:val="000000"/>
          <w:szCs w:val="24"/>
        </w:rPr>
        <w:t>non-practicing entities (“NPEs”)</w:t>
      </w:r>
      <w:r>
        <w:rPr>
          <w:rFonts w:ascii="Times New Roman" w:hAnsi="Times New Roman"/>
          <w:color w:val="000000"/>
          <w:szCs w:val="24"/>
        </w:rPr>
        <w:t xml:space="preserve"> could very well influence how they may decide a case.</w:t>
      </w:r>
      <w:r w:rsidR="00593BFF">
        <w:rPr>
          <w:rFonts w:ascii="Times New Roman" w:hAnsi="Times New Roman"/>
          <w:color w:val="000000"/>
          <w:szCs w:val="24"/>
        </w:rPr>
        <w:t xml:space="preserve"> That opinion could in turn be influenced by how one views the innovation economy. </w:t>
      </w:r>
    </w:p>
    <w:p w14:paraId="5E9A692A" w14:textId="77777777" w:rsidR="00DD5545" w:rsidRDefault="00DD5545" w:rsidP="00DD5545">
      <w:pPr>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lastRenderedPageBreak/>
        <w:t>In all, the analysis finds that while that APJs residing in Texas or who previously served as examiners are more likely to invalidate a patent, for the most parts, APJ demographics do not matter in merits decisions. Rather, the technology at issue, the statutory section challenged, and the patentee and petitioner status (such as whether they are a small entity or a patent assertion entity) are the main drivers of decision-making. Further, the PTO Director’s switching of the presiding judge from the institution phase to the merits phase also results in increased invalidation.</w:t>
      </w:r>
    </w:p>
    <w:p w14:paraId="64C14633" w14:textId="77777777" w:rsidR="00DD5545" w:rsidRDefault="00DD5545" w:rsidP="00DD5545">
      <w:pPr>
        <w:rPr>
          <w:rFonts w:ascii="Times New Roman" w:hAnsi="Times New Roman"/>
          <w:color w:val="000000" w:themeColor="text1"/>
          <w:shd w:val="clear" w:color="auto" w:fill="FFFFFF"/>
        </w:rPr>
      </w:pPr>
    </w:p>
    <w:p w14:paraId="522C347A" w14:textId="17F05304" w:rsidR="00DD5545" w:rsidRPr="00DD5545" w:rsidRDefault="00DD5545" w:rsidP="00DD5545">
      <w:pPr>
        <w:rPr>
          <w:rFonts w:ascii="Times New Roman" w:hAnsi="Times New Roman"/>
          <w:color w:val="000000" w:themeColor="text1"/>
          <w:shd w:val="clear" w:color="auto" w:fill="FFFFFF"/>
        </w:rPr>
      </w:pPr>
      <w:r w:rsidRPr="00BF21F4">
        <w:rPr>
          <w:rFonts w:ascii="Times New Roman" w:hAnsi="Times New Roman"/>
          <w:color w:val="000000" w:themeColor="text1"/>
          <w:shd w:val="clear" w:color="auto" w:fill="FFFFFF"/>
        </w:rPr>
        <w:t xml:space="preserve"> After setting forth the empirical story of how the PTAB has made decisions, the Article then turns to addressing the normative debate about how the PTAB should be reformed</w:t>
      </w:r>
      <w:r>
        <w:rPr>
          <w:rFonts w:ascii="Times New Roman" w:hAnsi="Times New Roman"/>
          <w:color w:val="000000" w:themeColor="text1"/>
          <w:shd w:val="clear" w:color="auto" w:fill="FFFFFF"/>
        </w:rPr>
        <w:t xml:space="preserve"> and </w:t>
      </w:r>
      <w:r w:rsidRPr="00BF21F4">
        <w:rPr>
          <w:rFonts w:ascii="Times New Roman" w:hAnsi="Times New Roman"/>
          <w:color w:val="000000" w:themeColor="text1"/>
          <w:shd w:val="clear" w:color="auto" w:fill="FFFFFF"/>
        </w:rPr>
        <w:t>in particular, opines about</w:t>
      </w:r>
      <w:r>
        <w:rPr>
          <w:rFonts w:ascii="Times New Roman" w:hAnsi="Times New Roman"/>
          <w:color w:val="000000" w:themeColor="text1"/>
          <w:shd w:val="clear" w:color="auto" w:fill="FFFFFF"/>
        </w:rPr>
        <w:t xml:space="preserve"> how the practices of other administrative agencies—including the internal structure of their decision-making, how precedent is determined, and how rulemaking can serve as a complement to adjudication—can inform reform post-</w:t>
      </w:r>
      <w:r w:rsidRPr="00473E92">
        <w:rPr>
          <w:rFonts w:ascii="Times New Roman" w:hAnsi="Times New Roman"/>
          <w:i/>
          <w:iCs/>
          <w:color w:val="000000" w:themeColor="text1"/>
          <w:shd w:val="clear" w:color="auto" w:fill="FFFFFF"/>
        </w:rPr>
        <w:t>Arthrex</w:t>
      </w:r>
      <w:r>
        <w:rPr>
          <w:rFonts w:ascii="Times New Roman" w:hAnsi="Times New Roman"/>
          <w:i/>
          <w:iCs/>
          <w:color w:val="000000" w:themeColor="text1"/>
          <w:shd w:val="clear" w:color="auto" w:fill="FFFFFF"/>
        </w:rPr>
        <w:t xml:space="preserve"> </w:t>
      </w:r>
      <w:r w:rsidRPr="002A2FDA">
        <w:rPr>
          <w:rFonts w:ascii="Times New Roman" w:hAnsi="Times New Roman"/>
          <w:color w:val="000000" w:themeColor="text1"/>
          <w:shd w:val="clear" w:color="auto" w:fill="FFFFFF"/>
        </w:rPr>
        <w:t>in the patent law administrative law context.</w:t>
      </w:r>
      <w:r w:rsidRPr="00BF21F4">
        <w:rPr>
          <w:rFonts w:ascii="Times New Roman" w:hAnsi="Times New Roman"/>
          <w:color w:val="000000" w:themeColor="text1"/>
          <w:shd w:val="clear" w:color="auto" w:fill="FFFFFF"/>
        </w:rPr>
        <w:t xml:space="preserve"> </w:t>
      </w:r>
      <w:r w:rsidRPr="00B148FC">
        <w:rPr>
          <w:rFonts w:ascii="Times New Roman" w:hAnsi="Times New Roman"/>
          <w:color w:val="000000" w:themeColor="text1"/>
          <w:shd w:val="clear" w:color="auto" w:fill="FFFFFF"/>
        </w:rPr>
        <w:t>Overall, this empirical research contributes to the debate about how the patent system—and in particular, the practices at the PTAB—should be reformed</w:t>
      </w:r>
      <w:r>
        <w:rPr>
          <w:rFonts w:ascii="Times New Roman" w:hAnsi="Times New Roman"/>
          <w:color w:val="000000" w:themeColor="text1"/>
          <w:shd w:val="clear" w:color="auto" w:fill="FFFFFF"/>
        </w:rPr>
        <w:t xml:space="preserve"> to accomplish two of the </w:t>
      </w:r>
      <w:proofErr w:type="gramStart"/>
      <w:r>
        <w:rPr>
          <w:rFonts w:ascii="Times New Roman" w:hAnsi="Times New Roman"/>
          <w:color w:val="000000" w:themeColor="text1"/>
          <w:shd w:val="clear" w:color="auto" w:fill="FFFFFF"/>
        </w:rPr>
        <w:t>twin</w:t>
      </w:r>
      <w:proofErr w:type="gramEnd"/>
      <w:r>
        <w:rPr>
          <w:rFonts w:ascii="Times New Roman" w:hAnsi="Times New Roman"/>
          <w:color w:val="000000" w:themeColor="text1"/>
          <w:shd w:val="clear" w:color="auto" w:fill="FFFFFF"/>
        </w:rPr>
        <w:t xml:space="preserve"> aims of democratic accountability and expertise</w:t>
      </w:r>
      <w:r w:rsidRPr="00B148FC">
        <w:rPr>
          <w:rFonts w:ascii="Times New Roman" w:hAnsi="Times New Roman"/>
          <w:color w:val="000000" w:themeColor="text1"/>
          <w:shd w:val="clear" w:color="auto" w:fill="FFFFFF"/>
        </w:rPr>
        <w:t xml:space="preserve"> and about the role that the administrative state has</w:t>
      </w:r>
      <w:r w:rsidRPr="00BF21F4">
        <w:rPr>
          <w:rFonts w:ascii="Times New Roman" w:hAnsi="Times New Roman"/>
          <w:color w:val="000000" w:themeColor="text1"/>
          <w:shd w:val="clear" w:color="auto" w:fill="FFFFFF"/>
        </w:rPr>
        <w:t xml:space="preserve"> and should have in patent law </w:t>
      </w:r>
      <w:r>
        <w:rPr>
          <w:rFonts w:ascii="Times New Roman" w:hAnsi="Times New Roman"/>
          <w:color w:val="000000" w:themeColor="text1"/>
          <w:shd w:val="clear" w:color="auto" w:fill="FFFFFF"/>
        </w:rPr>
        <w:t>policymaking going forward.</w:t>
      </w:r>
    </w:p>
    <w:p w14:paraId="0391C8B9" w14:textId="1556CBE6" w:rsidR="003F236A" w:rsidRPr="00BD0886" w:rsidRDefault="001B1283" w:rsidP="0017729A">
      <w:pPr>
        <w:pStyle w:val="NormalWeb"/>
        <w:rPr>
          <w:color w:val="000000"/>
        </w:rPr>
      </w:pPr>
      <w:r w:rsidRPr="00BD0886">
        <w:rPr>
          <w:color w:val="000000"/>
        </w:rPr>
        <w:tab/>
        <w:t xml:space="preserve"> </w:t>
      </w:r>
      <w:r w:rsidR="00580E1A" w:rsidRPr="00BD0886">
        <w:rPr>
          <w:color w:val="000000"/>
        </w:rPr>
        <w:t xml:space="preserve">This Article first describes in Part </w:t>
      </w:r>
      <w:r w:rsidR="00593BFF">
        <w:rPr>
          <w:color w:val="000000"/>
        </w:rPr>
        <w:t>I</w:t>
      </w:r>
      <w:r w:rsidR="00580E1A" w:rsidRPr="00BD0886">
        <w:rPr>
          <w:color w:val="000000"/>
        </w:rPr>
        <w:t xml:space="preserve"> the history of the PTAB as well as how it operates. Part </w:t>
      </w:r>
      <w:r w:rsidR="00593BFF">
        <w:rPr>
          <w:color w:val="000000"/>
        </w:rPr>
        <w:t>II</w:t>
      </w:r>
      <w:r w:rsidR="00580E1A" w:rsidRPr="00BD0886">
        <w:rPr>
          <w:color w:val="000000"/>
        </w:rPr>
        <w:t xml:space="preserve"> then </w:t>
      </w:r>
      <w:r w:rsidR="00DD5545">
        <w:rPr>
          <w:color w:val="000000"/>
        </w:rPr>
        <w:t>details some prior studies of the PTAB</w:t>
      </w:r>
      <w:r w:rsidR="00580E1A" w:rsidRPr="00BD0886">
        <w:rPr>
          <w:color w:val="000000"/>
        </w:rPr>
        <w:t>.</w:t>
      </w:r>
      <w:r w:rsidR="004F3FDD">
        <w:rPr>
          <w:color w:val="000000"/>
        </w:rPr>
        <w:t xml:space="preserve"> </w:t>
      </w:r>
      <w:r w:rsidR="00DD5545">
        <w:rPr>
          <w:color w:val="000000"/>
        </w:rPr>
        <w:t>Part III</w:t>
      </w:r>
      <w:r w:rsidR="004F3FDD">
        <w:rPr>
          <w:color w:val="000000"/>
        </w:rPr>
        <w:t xml:space="preserve"> </w:t>
      </w:r>
      <w:r w:rsidR="00CF5014">
        <w:rPr>
          <w:color w:val="000000"/>
        </w:rPr>
        <w:t xml:space="preserve">details the dataset collected and explains more about the demographics of the PTAB judges </w:t>
      </w:r>
      <w:r w:rsidR="00287D35">
        <w:rPr>
          <w:color w:val="000000"/>
        </w:rPr>
        <w:t xml:space="preserve">and then turns in Part </w:t>
      </w:r>
      <w:r w:rsidR="00DD5545">
        <w:rPr>
          <w:color w:val="000000"/>
        </w:rPr>
        <w:t>IV</w:t>
      </w:r>
      <w:r w:rsidR="00287D35">
        <w:rPr>
          <w:color w:val="000000"/>
        </w:rPr>
        <w:t xml:space="preserve"> to set </w:t>
      </w:r>
      <w:r w:rsidR="00CF5014">
        <w:rPr>
          <w:color w:val="000000"/>
        </w:rPr>
        <w:t xml:space="preserve">forth descriptively and statistically some of the factors that impact both the presiding judges’ decision to institute as well as the decision to find the patent invalid in whole or in part.  Part </w:t>
      </w:r>
      <w:r w:rsidR="00287D35">
        <w:rPr>
          <w:color w:val="000000"/>
        </w:rPr>
        <w:t>V</w:t>
      </w:r>
      <w:r w:rsidR="005B5DEF" w:rsidRPr="00BD0886">
        <w:rPr>
          <w:color w:val="000000"/>
        </w:rPr>
        <w:t xml:space="preserve"> then normatively proposes how the PTAB can be reformed. </w:t>
      </w:r>
      <w:r w:rsidR="00457FAF" w:rsidRPr="00BD0886">
        <w:rPr>
          <w:color w:val="000000"/>
        </w:rPr>
        <w:t xml:space="preserve">Most importantly, the PTAB should be reformed as to complement rather than compete with the courts. </w:t>
      </w:r>
      <w:r w:rsidR="00510894" w:rsidRPr="00BD0886">
        <w:rPr>
          <w:color w:val="000000"/>
        </w:rPr>
        <w:t>Rather than the PTAB being a place to litigate a patent’s validity so as to be binding on other parties, perhaps the PTAB should serve as a “district court” adjunct as opposed to a substitute in adjudging the areas o</w:t>
      </w:r>
      <w:r w:rsidR="009767F6" w:rsidRPr="00BD0886">
        <w:rPr>
          <w:color w:val="000000"/>
        </w:rPr>
        <w:t xml:space="preserve">f patentability. This would, of course, diminish the power of the PTAB, as well as that of the PTO. But such a recalibration of power may be exactly in order so as to better realize the goals of what the PTAB was meant to be. </w:t>
      </w:r>
      <w:r w:rsidR="008744EC">
        <w:rPr>
          <w:color w:val="000000"/>
        </w:rPr>
        <w:t>Alternatively, the PTO could rely more on rulemaking</w:t>
      </w:r>
      <w:r w:rsidR="00CF5014">
        <w:rPr>
          <w:color w:val="000000"/>
        </w:rPr>
        <w:t xml:space="preserve"> and offering precedential opinions</w:t>
      </w:r>
      <w:r w:rsidR="008744EC">
        <w:rPr>
          <w:color w:val="000000"/>
        </w:rPr>
        <w:t xml:space="preserve"> to make policy</w:t>
      </w:r>
      <w:r w:rsidR="00CF5014">
        <w:rPr>
          <w:color w:val="000000"/>
        </w:rPr>
        <w:t xml:space="preserve"> and rely </w:t>
      </w:r>
      <w:r w:rsidR="00053718">
        <w:rPr>
          <w:color w:val="000000"/>
        </w:rPr>
        <w:t xml:space="preserve">less on other methods </w:t>
      </w:r>
      <w:r w:rsidR="00CF5014">
        <w:rPr>
          <w:color w:val="000000"/>
        </w:rPr>
        <w:t>of political control such as panel stacking.</w:t>
      </w:r>
    </w:p>
    <w:p w14:paraId="450F0AD5" w14:textId="2CF4A7FA" w:rsidR="00D95872" w:rsidRPr="00BD0886" w:rsidRDefault="00D95872" w:rsidP="00E469A3">
      <w:pPr>
        <w:pStyle w:val="NormalWeb"/>
        <w:numPr>
          <w:ilvl w:val="0"/>
          <w:numId w:val="30"/>
        </w:numPr>
      </w:pPr>
      <w:r w:rsidRPr="00BD0886">
        <w:t>The PTAB Process</w:t>
      </w:r>
    </w:p>
    <w:p w14:paraId="0AD1BA6A" w14:textId="0F778886" w:rsidR="00A511C5" w:rsidRPr="00BD0886" w:rsidRDefault="00AF572C" w:rsidP="00A511C5">
      <w:pPr>
        <w:pStyle w:val="NormalWeb"/>
        <w:ind w:firstLine="720"/>
      </w:pPr>
      <w:r w:rsidRPr="00BD0886">
        <w:lastRenderedPageBreak/>
        <w:t xml:space="preserve">Patent examiners </w:t>
      </w:r>
      <w:r w:rsidR="00AB69AA" w:rsidRPr="00BD0886">
        <w:t xml:space="preserve">inevitably </w:t>
      </w:r>
      <w:r w:rsidRPr="00BD0886">
        <w:t xml:space="preserve">make mistakes and improvidently granted </w:t>
      </w:r>
      <w:proofErr w:type="gramStart"/>
      <w:r w:rsidRPr="00BD0886">
        <w:t>patents  pose</w:t>
      </w:r>
      <w:proofErr w:type="gramEnd"/>
      <w:r w:rsidRPr="00BD0886">
        <w:t xml:space="preserve"> unnecessary costs to the patent system in the form of stifling innovation. </w:t>
      </w:r>
      <w:r w:rsidR="00304FC3" w:rsidRPr="00BD0886">
        <w:t xml:space="preserve">The </w:t>
      </w:r>
      <w:r w:rsidRPr="00BD0886">
        <w:t xml:space="preserve">high cost and length of trials in the district courts as well as the high rate at which district court cases are overturned on appeal (patent cases are overturned at a rate of 40% or 50% in some cases, compared to 10% for other types of cases before the Federal Circuit) resulted in the PTO offering a faster, lower cost option </w:t>
      </w:r>
      <w:r w:rsidR="00E36849" w:rsidRPr="00BD0886">
        <w:t>for</w:t>
      </w:r>
      <w:r w:rsidRPr="00BD0886">
        <w:t xml:space="preserve"> litigating certain issues before the agency</w:t>
      </w:r>
      <w:r w:rsidR="00E36849" w:rsidRPr="00BD0886">
        <w:t xml:space="preserve"> itself</w:t>
      </w:r>
      <w:r w:rsidRPr="00BD0886">
        <w:t>.</w:t>
      </w:r>
      <w:r w:rsidRPr="00BD0886">
        <w:rPr>
          <w:rStyle w:val="FootnoteReference"/>
        </w:rPr>
        <w:footnoteReference w:id="19"/>
      </w:r>
      <w:r w:rsidR="00D32E46" w:rsidRPr="00BD0886">
        <w:t xml:space="preserve"> Further, patent law is not an easy subject for unspecialized district court judges to navigate. </w:t>
      </w:r>
      <w:r w:rsidR="000834E5" w:rsidRPr="00BD0886">
        <w:t>This has resulted in litigants seeking out certain district courts, such as the District of Delaware, the Eastern District of Texas, or the Northern District of California, as favored forum to litigate cases</w:t>
      </w:r>
      <w:r w:rsidR="00AB69AA" w:rsidRPr="00BD0886">
        <w:t xml:space="preserve"> due to both the judges’ greater familiarity with patent law as well as procedural rules adopted in these courts to ensure smooth sailing of patent cases</w:t>
      </w:r>
      <w:r w:rsidR="000834E5" w:rsidRPr="00BD0886">
        <w:t>.</w:t>
      </w:r>
      <w:r w:rsidR="00B42949" w:rsidRPr="00BD0886">
        <w:rPr>
          <w:rStyle w:val="FootnoteReference"/>
        </w:rPr>
        <w:footnoteReference w:id="20"/>
      </w:r>
      <w:r w:rsidR="000834E5" w:rsidRPr="00BD0886">
        <w:t xml:space="preserve"> In addition, Congress set up a pilot program </w:t>
      </w:r>
      <w:r w:rsidR="00B42949" w:rsidRPr="00BD0886">
        <w:t>of the fourteen most popular district courts to receive special resources to aid in patent decision-making. But these developments bring with it their own set of problems, such as forum shipping or bias of certain district court against or toward patentees</w:t>
      </w:r>
      <w:r w:rsidR="00E109F4" w:rsidRPr="00BD0886">
        <w:t xml:space="preserve"> as well as the lack of uniformity engendered with parties filing lawsuits in different jurisdictions; a patent could be declared invalid in one court while the same patent could be found not invalid in another court.</w:t>
      </w:r>
      <w:r w:rsidR="00B42949" w:rsidRPr="00BD0886">
        <w:t xml:space="preserve"> </w:t>
      </w:r>
      <w:r w:rsidR="00E36849" w:rsidRPr="00BD0886">
        <w:t>Indeed, claims that certain district courts, such as the Eastern District of Texas, engineered procedures to favor plaintiffs was one of the reasons why it became the most popular patent forum in the United States</w:t>
      </w:r>
      <w:r w:rsidR="008744EC">
        <w:t xml:space="preserve"> for patentees to file cases in</w:t>
      </w:r>
      <w:r w:rsidR="00E36849" w:rsidRPr="00BD0886">
        <w:t>.</w:t>
      </w:r>
      <w:r w:rsidR="00E36849" w:rsidRPr="00BD0886">
        <w:rPr>
          <w:rStyle w:val="FootnoteReference"/>
        </w:rPr>
        <w:footnoteReference w:id="21"/>
      </w:r>
      <w:r w:rsidR="00E36849" w:rsidRPr="00BD0886">
        <w:t xml:space="preserve"> </w:t>
      </w:r>
      <w:r w:rsidR="00B42949" w:rsidRPr="00BD0886">
        <w:t>Further in</w:t>
      </w:r>
      <w:r w:rsidR="00D32E46" w:rsidRPr="00BD0886">
        <w:t xml:space="preserve"> addition to dealing with the scientific principles behind any given invention, patent law has its own unique terminology that may make decision-making especially more challenging for district court judges.</w:t>
      </w:r>
      <w:r w:rsidR="00D32E46" w:rsidRPr="00BD0886">
        <w:rPr>
          <w:rStyle w:val="FootnoteReference"/>
        </w:rPr>
        <w:footnoteReference w:id="22"/>
      </w:r>
      <w:r w:rsidR="000834E5" w:rsidRPr="00BD0886">
        <w:t xml:space="preserve"> </w:t>
      </w:r>
      <w:r w:rsidR="00E109F4" w:rsidRPr="00BD0886">
        <w:t xml:space="preserve">Thus, there arose a need to try out a </w:t>
      </w:r>
      <w:r w:rsidR="00E109F4" w:rsidRPr="00BD0886">
        <w:lastRenderedPageBreak/>
        <w:t xml:space="preserve">forum that would blend the expertise of decision-makers with the </w:t>
      </w:r>
      <w:r w:rsidR="00B6250D" w:rsidRPr="00BD0886">
        <w:t xml:space="preserve">uniformity common of a centralized federal administrative agency. </w:t>
      </w:r>
      <w:r w:rsidR="000834E5" w:rsidRPr="00BD0886">
        <w:t xml:space="preserve">The AIA created </w:t>
      </w:r>
      <w:r w:rsidR="00B6250D" w:rsidRPr="00BD0886">
        <w:t>this</w:t>
      </w:r>
      <w:r w:rsidR="000834E5" w:rsidRPr="00BD0886">
        <w:t xml:space="preserve"> new institutional forum, the PTAB, to provide an administrative remedy for more specialized judges sitting in panels of three to assess the validity of a patent. </w:t>
      </w:r>
      <w:r w:rsidR="00AB69AA" w:rsidRPr="00BD0886">
        <w:t xml:space="preserve">On paper, the PTAB provided a means to accomplish two central objectives of the patent system – render consistent and uniform decisions in </w:t>
      </w:r>
      <w:proofErr w:type="gramStart"/>
      <w:r w:rsidR="00AB69AA" w:rsidRPr="00BD0886">
        <w:t>a  timely</w:t>
      </w:r>
      <w:proofErr w:type="gramEnd"/>
      <w:r w:rsidR="00AB69AA" w:rsidRPr="00BD0886">
        <w:t xml:space="preserve"> matter.</w:t>
      </w:r>
      <w:r w:rsidR="0032021C" w:rsidRPr="00BD0886">
        <w:t xml:space="preserve"> At the time of its creation in 2011, the Patent Officer Director deemed it “the most significant overhaul to our patent system, since the founding fathers first conceived of codifying a grand bargain between society and invention.”</w:t>
      </w:r>
      <w:r w:rsidR="0032021C" w:rsidRPr="00BD0886">
        <w:rPr>
          <w:rStyle w:val="FootnoteReference"/>
        </w:rPr>
        <w:footnoteReference w:id="23"/>
      </w:r>
    </w:p>
    <w:p w14:paraId="7505F7C7" w14:textId="564383F5" w:rsidR="00027EEA" w:rsidRPr="00BD0886" w:rsidRDefault="00027EEA" w:rsidP="00A511C5">
      <w:pPr>
        <w:pStyle w:val="NormalWeb"/>
        <w:ind w:firstLine="720"/>
      </w:pPr>
      <w:r w:rsidRPr="00BD0886">
        <w:t>In addition, the patent system has long operated according to the assumption that it is far better to grant poor patents than to err on the side of caution and deny inventors a patent that they otherwise should have gotten.  This assumption is baked into the analysis of why a system is needed to correct for problems in the initial examination.</w:t>
      </w:r>
      <w:r w:rsidRPr="00BD0886">
        <w:rPr>
          <w:rStyle w:val="FootnoteReference"/>
        </w:rPr>
        <w:footnoteReference w:id="24"/>
      </w:r>
      <w:r w:rsidRPr="00BD0886">
        <w:t xml:space="preserve">  </w:t>
      </w:r>
      <w:r w:rsidR="00F8411C" w:rsidRPr="00BD0886">
        <w:t>As such, the AIA was enacted in part to address the criticism that too many “bad” patents were floating about, with the incident harm to the public of stifling innovation.</w:t>
      </w:r>
      <w:r w:rsidR="00F8411C" w:rsidRPr="00BD0886">
        <w:rPr>
          <w:rStyle w:val="FootnoteReference"/>
        </w:rPr>
        <w:footnoteReference w:id="25"/>
      </w:r>
      <w:r w:rsidR="00F8411C" w:rsidRPr="00BD0886">
        <w:t xml:space="preserve"> </w:t>
      </w:r>
      <w:r w:rsidRPr="00BD0886">
        <w:t>At same time, it is also difficult to correct errors through the courts, given the courts lack of expertise and time.</w:t>
      </w:r>
      <w:r w:rsidR="001E02BA" w:rsidRPr="00BD0886">
        <w:t xml:space="preserve"> Time is of the essence in patent law and the importance of time may differ by technology type. Software patents </w:t>
      </w:r>
      <w:r w:rsidR="001E02BA" w:rsidRPr="00BD0886">
        <w:lastRenderedPageBreak/>
        <w:t xml:space="preserve">quickly become obsolete, so a lengthy litigation on rights undermines the property right. </w:t>
      </w:r>
    </w:p>
    <w:p w14:paraId="1710CD77" w14:textId="307D9031" w:rsidR="00316D11" w:rsidRDefault="006F3423" w:rsidP="00316D11">
      <w:pPr>
        <w:pStyle w:val="NormalWeb"/>
        <w:ind w:firstLine="720"/>
      </w:pPr>
      <w:r w:rsidRPr="00BD0886">
        <w:t>An administrative mechanism to challenge a patent’s validity was not new to the American Invents Act.</w:t>
      </w:r>
      <w:r w:rsidR="006D71DB" w:rsidRPr="00BD0886">
        <w:rPr>
          <w:rStyle w:val="FootnoteReference"/>
        </w:rPr>
        <w:footnoteReference w:id="26"/>
      </w:r>
      <w:r w:rsidRPr="00BD0886">
        <w:t xml:space="preserve"> Indeed, since 1981, the PTO has had some type of administrative post-grant review</w:t>
      </w:r>
      <w:r w:rsidR="00316D11" w:rsidRPr="00BD0886">
        <w:t xml:space="preserve"> to correct the inevitable errors by examiners</w:t>
      </w:r>
      <w:r w:rsidRPr="00BD0886">
        <w:t xml:space="preserve">. Called an </w:t>
      </w:r>
      <w:r w:rsidRPr="00BD0886">
        <w:rPr>
          <w:i/>
          <w:iCs/>
        </w:rPr>
        <w:t xml:space="preserve">ex </w:t>
      </w:r>
      <w:proofErr w:type="spellStart"/>
      <w:r w:rsidRPr="00BD0886">
        <w:rPr>
          <w:i/>
          <w:iCs/>
        </w:rPr>
        <w:t>parte</w:t>
      </w:r>
      <w:proofErr w:type="spellEnd"/>
      <w:r w:rsidRPr="00BD0886">
        <w:rPr>
          <w:i/>
          <w:iCs/>
        </w:rPr>
        <w:t xml:space="preserve"> </w:t>
      </w:r>
      <w:r w:rsidRPr="00BD0886">
        <w:t>reexamination, the predecessor procedure permitted any person or entity to petition the PTO to re-open the examination of a patent, provided they were able to raise a “substantial new question of patentability.”</w:t>
      </w:r>
      <w:r w:rsidRPr="00BD0886">
        <w:rPr>
          <w:rStyle w:val="FootnoteReference"/>
        </w:rPr>
        <w:footnoteReference w:id="27"/>
      </w:r>
      <w:r w:rsidRPr="00BD0886">
        <w:t xml:space="preserve">  This early form of post-grant procedure permitted only action between patentees and the PTO; third parties were forbidden to get involved.</w:t>
      </w:r>
      <w:r w:rsidRPr="00BD0886">
        <w:rPr>
          <w:rStyle w:val="FootnoteReference"/>
        </w:rPr>
        <w:footnoteReference w:id="28"/>
      </w:r>
      <w:r w:rsidRPr="00BD0886">
        <w:t xml:space="preserve"> This practice was in contrast to the proceedings other countries have adopted. For example, in Europe, third party challenge to patents as a measure of increasing “patent quality” had been in existence for many years.</w:t>
      </w:r>
      <w:r w:rsidRPr="00BD0886">
        <w:rPr>
          <w:rStyle w:val="FootnoteReference"/>
        </w:rPr>
        <w:footnoteReference w:id="29"/>
      </w:r>
      <w:r w:rsidRPr="00BD0886">
        <w:t xml:space="preserve"> Congress further expanded the role that third parties could play in post-grant review when they passed the American Inventors Protection Act of 1999.</w:t>
      </w:r>
      <w:r w:rsidRPr="00BD0886">
        <w:rPr>
          <w:rStyle w:val="FootnoteReference"/>
        </w:rPr>
        <w:footnoteReference w:id="30"/>
      </w:r>
      <w:r w:rsidRPr="00BD0886">
        <w:t xml:space="preserve"> This new law created a new procedure called </w:t>
      </w:r>
      <w:r w:rsidRPr="00BD0886">
        <w:rPr>
          <w:i/>
          <w:iCs/>
        </w:rPr>
        <w:t>inter partes</w:t>
      </w:r>
      <w:r w:rsidRPr="00BD0886">
        <w:t xml:space="preserve"> reexamination, and expanded the role for third parties challenging a patent to attack a patent’s validity and the PTO’s issuance of a patent.</w:t>
      </w:r>
      <w:r w:rsidRPr="00BD0886">
        <w:rPr>
          <w:rStyle w:val="FootnoteReference"/>
        </w:rPr>
        <w:footnoteReference w:id="31"/>
      </w:r>
      <w:r w:rsidRPr="00BD0886">
        <w:t xml:space="preserve"> Neither </w:t>
      </w:r>
      <w:r w:rsidRPr="00BD0886">
        <w:rPr>
          <w:i/>
          <w:iCs/>
        </w:rPr>
        <w:t xml:space="preserve">ex </w:t>
      </w:r>
      <w:proofErr w:type="spellStart"/>
      <w:r w:rsidRPr="00BD0886">
        <w:rPr>
          <w:i/>
          <w:iCs/>
        </w:rPr>
        <w:t>parte</w:t>
      </w:r>
      <w:proofErr w:type="spellEnd"/>
      <w:r w:rsidRPr="00BD0886">
        <w:t xml:space="preserve"> nor </w:t>
      </w:r>
      <w:r w:rsidRPr="00BD0886">
        <w:rPr>
          <w:i/>
          <w:iCs/>
        </w:rPr>
        <w:t>inter partes</w:t>
      </w:r>
      <w:r w:rsidRPr="00BD0886">
        <w:t xml:space="preserve"> reexamination were extensively employed</w:t>
      </w:r>
      <w:r w:rsidR="007B2A16">
        <w:t xml:space="preserve"> prior to the AIA</w:t>
      </w:r>
      <w:r w:rsidRPr="00BD0886">
        <w:t>, nor were they seen by any means as substitutes for the much wider review of validity in the district courts.</w:t>
      </w:r>
      <w:r w:rsidRPr="00BD0886">
        <w:rPr>
          <w:rStyle w:val="FootnoteReference"/>
        </w:rPr>
        <w:footnoteReference w:id="32"/>
      </w:r>
      <w:r w:rsidRPr="00BD0886">
        <w:t xml:space="preserve"> Parties wishing to petition through a reexamination had to raise a “substantial new question of patentability,” a request that was denied only about 10% of the time.</w:t>
      </w:r>
      <w:r w:rsidRPr="00BD0886">
        <w:rPr>
          <w:rStyle w:val="FootnoteReference"/>
        </w:rPr>
        <w:footnoteReference w:id="33"/>
      </w:r>
      <w:r w:rsidRPr="00BD0886">
        <w:t xml:space="preserve"> One reason for the lack of success centered on the long wait time; those filing for </w:t>
      </w:r>
      <w:r w:rsidRPr="00BD0886">
        <w:rPr>
          <w:i/>
          <w:iCs/>
        </w:rPr>
        <w:t>inter partes</w:t>
      </w:r>
      <w:r w:rsidRPr="00BD0886">
        <w:t xml:space="preserve"> reexamination waited approximately three years to resolve </w:t>
      </w:r>
      <w:r w:rsidRPr="00BD0886">
        <w:lastRenderedPageBreak/>
        <w:t>their cases.</w:t>
      </w:r>
      <w:r w:rsidRPr="00BD0886">
        <w:rPr>
          <w:rStyle w:val="FootnoteReference"/>
        </w:rPr>
        <w:footnoteReference w:id="34"/>
      </w:r>
      <w:r w:rsidRPr="00BD0886">
        <w:t xml:space="preserve"> Moreover, rather than being an acceptable and equal substitute for district court litigation, many reexaminations had an uncertain outcome: most decisions ended in the issuance of a new set of claims, rather than a substantive ruling on the challenged claims.</w:t>
      </w:r>
      <w:r w:rsidRPr="00BD0886">
        <w:rPr>
          <w:rStyle w:val="FootnoteReference"/>
        </w:rPr>
        <w:footnoteReference w:id="35"/>
      </w:r>
      <w:r w:rsidRPr="00BD0886">
        <w:t xml:space="preserve"> Another major limitation was the fact that third parties could only rely on documentary prior art to attack the validity of a patent, excluding prior art resulting from the on sale bar or public use, with reexamination “never serv[</w:t>
      </w:r>
      <w:proofErr w:type="spellStart"/>
      <w:r w:rsidRPr="00BD0886">
        <w:t>ing</w:t>
      </w:r>
      <w:proofErr w:type="spellEnd"/>
      <w:r w:rsidRPr="00BD0886">
        <w:t>] as a fully effective alternative to validity litigation.”</w:t>
      </w:r>
      <w:r w:rsidRPr="00BD0886">
        <w:rPr>
          <w:rStyle w:val="FootnoteReference"/>
        </w:rPr>
        <w:footnoteReference w:id="36"/>
      </w:r>
      <w:r w:rsidRPr="00BD0886">
        <w:t xml:space="preserve"> About 66% of outcomes using </w:t>
      </w:r>
      <w:r w:rsidRPr="00BD0886">
        <w:rPr>
          <w:i/>
          <w:iCs/>
        </w:rPr>
        <w:t>inter partes</w:t>
      </w:r>
      <w:r w:rsidRPr="00BD0886">
        <w:t xml:space="preserve"> reexamination resulted in at least some claim cancellations.</w:t>
      </w:r>
      <w:r w:rsidRPr="00BD0886">
        <w:rPr>
          <w:rStyle w:val="FootnoteReference"/>
        </w:rPr>
        <w:footnoteReference w:id="37"/>
      </w:r>
      <w:r w:rsidRPr="00BD0886">
        <w:t xml:space="preserve"> An estoppel provision prevented </w:t>
      </w:r>
      <w:proofErr w:type="spellStart"/>
      <w:r w:rsidRPr="00BD0886">
        <w:t>relitigation</w:t>
      </w:r>
      <w:proofErr w:type="spellEnd"/>
      <w:r w:rsidRPr="00BD0886">
        <w:t xml:space="preserve"> of claims in the district courts.</w:t>
      </w:r>
      <w:r w:rsidRPr="00BD0886">
        <w:rPr>
          <w:rStyle w:val="FootnoteReference"/>
        </w:rPr>
        <w:footnoteReference w:id="38"/>
      </w:r>
      <w:r w:rsidR="00581C10" w:rsidRPr="00BD0886">
        <w:t xml:space="preserve"> The new </w:t>
      </w:r>
      <w:r w:rsidR="00581C10" w:rsidRPr="00C70C8E">
        <w:rPr>
          <w:i/>
          <w:iCs/>
        </w:rPr>
        <w:t>inter partes</w:t>
      </w:r>
      <w:r w:rsidR="00581C10" w:rsidRPr="00BD0886">
        <w:t xml:space="preserve"> review was also a greater substitute for federal district court litigation.</w:t>
      </w:r>
      <w:r w:rsidR="00581C10" w:rsidRPr="00BD0886">
        <w:rPr>
          <w:rStyle w:val="FootnoteReference"/>
        </w:rPr>
        <w:footnoteReference w:id="39"/>
      </w:r>
    </w:p>
    <w:p w14:paraId="781F6913" w14:textId="28FCE898" w:rsidR="006F3423" w:rsidRPr="00BD0886" w:rsidRDefault="006F3423" w:rsidP="006F3423">
      <w:pPr>
        <w:pStyle w:val="NormalWeb"/>
        <w:ind w:firstLine="720"/>
      </w:pPr>
      <w:r w:rsidRPr="00BD0886">
        <w:t>Congress amended the system in 2011 to provide for three new methods of review. These procedures became available to parties within a year of the American Invents Act. First, post-grant review proceedings (“PGR”) provides a mechanism that can be used to adjudicate any available ground of invalidity during the first nine months after a patent issues.</w:t>
      </w:r>
      <w:r w:rsidRPr="00BD0886">
        <w:rPr>
          <w:rStyle w:val="FootnoteReference"/>
        </w:rPr>
        <w:footnoteReference w:id="40"/>
      </w:r>
      <w:r w:rsidRPr="00BD0886">
        <w:t xml:space="preserve"> In PGR, petitioners can challenge the patent on </w:t>
      </w:r>
      <w:r w:rsidRPr="00BD0886">
        <w:rPr>
          <w:i/>
          <w:iCs/>
        </w:rPr>
        <w:t>any</w:t>
      </w:r>
      <w:r w:rsidRPr="00BD0886">
        <w:t xml:space="preserve"> grounds.</w:t>
      </w:r>
      <w:r w:rsidRPr="00BD0886">
        <w:rPr>
          <w:rStyle w:val="FootnoteReference"/>
        </w:rPr>
        <w:footnoteReference w:id="41"/>
      </w:r>
    </w:p>
    <w:p w14:paraId="680EF290" w14:textId="77777777" w:rsidR="006F3423" w:rsidRPr="00BD0886" w:rsidRDefault="006F3423" w:rsidP="006F3423">
      <w:pPr>
        <w:pStyle w:val="NormalWeb"/>
        <w:ind w:firstLine="720"/>
      </w:pPr>
      <w:r w:rsidRPr="00BD0886">
        <w:t xml:space="preserve">Second, the PTAB also offers a transitional program that expired in September 2020 to review the validity of covered business method patents (“CBM”) on certain grounds more far-reaching that the limited scope of </w:t>
      </w:r>
      <w:r w:rsidRPr="00BD0886">
        <w:lastRenderedPageBreak/>
        <w:t>review given during</w:t>
      </w:r>
      <w:r w:rsidRPr="00BD0886">
        <w:rPr>
          <w:i/>
          <w:iCs/>
        </w:rPr>
        <w:t xml:space="preserve"> </w:t>
      </w:r>
      <w:r w:rsidRPr="00BD0886">
        <w:t>other procedures.</w:t>
      </w:r>
      <w:r w:rsidRPr="00BD0886">
        <w:rPr>
          <w:rStyle w:val="FootnoteReference"/>
        </w:rPr>
        <w:footnoteReference w:id="42"/>
      </w:r>
      <w:r w:rsidRPr="00BD0886">
        <w:t xml:space="preserve"> The subject matter of CBM was limited to only business method patents covering a “data processing or other operations used in the practice, administration, or management of a financial product or service.”</w:t>
      </w:r>
      <w:r w:rsidRPr="00BD0886">
        <w:rPr>
          <w:rStyle w:val="FootnoteReference"/>
        </w:rPr>
        <w:footnoteReference w:id="43"/>
      </w:r>
      <w:r w:rsidRPr="00BD0886">
        <w:t xml:space="preserve"> CBM procedures are not time-limited; they can be filed after a year has passed after service of a complaint in a district court litigation.</w:t>
      </w:r>
    </w:p>
    <w:p w14:paraId="6E399374" w14:textId="251AD30E" w:rsidR="00296CFB" w:rsidRDefault="006F3423" w:rsidP="00804505">
      <w:pPr>
        <w:pStyle w:val="NormalWeb"/>
        <w:ind w:firstLine="720"/>
      </w:pPr>
      <w:r w:rsidRPr="00BD0886">
        <w:t xml:space="preserve">Finally, Congress set up a revision of the prior </w:t>
      </w:r>
      <w:r w:rsidRPr="00BD0886">
        <w:rPr>
          <w:i/>
          <w:iCs/>
        </w:rPr>
        <w:t xml:space="preserve">inter partes </w:t>
      </w:r>
      <w:r w:rsidRPr="00BD0886">
        <w:t xml:space="preserve">reexamination by revising a third procedure called </w:t>
      </w:r>
      <w:r w:rsidRPr="00BD0886">
        <w:rPr>
          <w:i/>
          <w:iCs/>
        </w:rPr>
        <w:t>inter partes</w:t>
      </w:r>
      <w:r w:rsidRPr="00BD0886">
        <w:t xml:space="preserve"> review (“IPR”), the subject of this Article and the subject of the </w:t>
      </w:r>
      <w:r w:rsidRPr="008744EC">
        <w:rPr>
          <w:i/>
          <w:iCs/>
        </w:rPr>
        <w:t>Arthrex</w:t>
      </w:r>
      <w:r w:rsidRPr="00BD0886">
        <w:t xml:space="preserve"> case. Third parties can still petition for review of patents just like under </w:t>
      </w:r>
      <w:r w:rsidRPr="00C70C8E">
        <w:rPr>
          <w:i/>
          <w:iCs/>
        </w:rPr>
        <w:t xml:space="preserve">ex </w:t>
      </w:r>
      <w:proofErr w:type="spellStart"/>
      <w:r w:rsidRPr="00C70C8E">
        <w:rPr>
          <w:i/>
          <w:iCs/>
        </w:rPr>
        <w:t>parte</w:t>
      </w:r>
      <w:proofErr w:type="spellEnd"/>
      <w:r w:rsidRPr="00BD0886">
        <w:t xml:space="preserve"> reexamination, but review would be limited to only certain grounds for challenging a patent.  For example, in the district court, one can attack a patent because another invention, in whole or in part, either anticipated or made obvious, the claimed invention. The party attacking the validity of a patent can try to prove this through documentary prior art (such as by publications</w:t>
      </w:r>
      <w:r w:rsidR="00804505" w:rsidRPr="00BD0886">
        <w:t xml:space="preserve"> or a patent issued in the US or a foreign country</w:t>
      </w:r>
      <w:r w:rsidRPr="00BD0886">
        <w:t>), but they could also argue that the invention was in public use anywhere in the world or on sale anywhere in the world.</w:t>
      </w:r>
      <w:r w:rsidRPr="00BD0886">
        <w:rPr>
          <w:rStyle w:val="FootnoteReference"/>
        </w:rPr>
        <w:footnoteReference w:id="44"/>
      </w:r>
      <w:r w:rsidRPr="00BD0886">
        <w:t xml:space="preserve"> The IPR procedure limit</w:t>
      </w:r>
      <w:r w:rsidR="00296CFB">
        <w:t>s</w:t>
      </w:r>
      <w:r w:rsidRPr="00BD0886">
        <w:t xml:space="preserve"> attacks on validity to only documentary prior art. Thus, if someone in Switzerland wrote an article that either anticipated or made obvious your invention, that prior art can be brought up </w:t>
      </w:r>
      <w:r w:rsidR="00804505" w:rsidRPr="00BD0886">
        <w:t>in an IPR proceeding</w:t>
      </w:r>
      <w:r w:rsidRPr="00BD0886">
        <w:t>. However, i</w:t>
      </w:r>
      <w:r w:rsidR="00804505" w:rsidRPr="00BD0886">
        <w:t>f</w:t>
      </w:r>
      <w:r w:rsidRPr="00BD0886">
        <w:t xml:space="preserve"> someone in Switzerland simply disclosed the potentially invalidating prior art at a conference in Europe without any documentary proof that evidence could be used to challenge invalidity in the district courts but it could not be used to challenge invalidity </w:t>
      </w:r>
      <w:r w:rsidR="00316D11" w:rsidRPr="00BD0886">
        <w:t>in an IPR</w:t>
      </w:r>
      <w:r w:rsidRPr="00BD0886">
        <w:t xml:space="preserve">. </w:t>
      </w:r>
    </w:p>
    <w:p w14:paraId="46C24E78" w14:textId="0ACE040D" w:rsidR="006F3423" w:rsidRPr="00BD0886" w:rsidRDefault="006F3423" w:rsidP="00804505">
      <w:pPr>
        <w:pStyle w:val="NormalWeb"/>
        <w:ind w:firstLine="720"/>
      </w:pPr>
      <w:r w:rsidRPr="00BD0886">
        <w:t xml:space="preserve">Moreover, several noted other statutory grounds to attack a patent’s validity were also notably absent from the </w:t>
      </w:r>
      <w:r w:rsidR="00316D11" w:rsidRPr="00BD0886">
        <w:t>IPR</w:t>
      </w:r>
      <w:r w:rsidRPr="00BD0886">
        <w:t xml:space="preserve">’s purview. First, arguing that a patent is invalid simply because it is too abstract to be patentable or that it is a law of nature is an argument that can only be made, for the most part, in a district court proceeding. This omission from the PTAB’s jurisdiction is notable, especially since the last few years courts have increasingly invalidated many software and less tangible business method computer patents as being outside the purview of patentable subject matter in the first instance. </w:t>
      </w:r>
      <w:r w:rsidR="007958EC" w:rsidRPr="00BD0886">
        <w:t>Second, a party cannot attack a patent’s validity</w:t>
      </w:r>
      <w:r w:rsidR="00316D11" w:rsidRPr="00BD0886">
        <w:t xml:space="preserve"> in an IPR</w:t>
      </w:r>
      <w:r w:rsidR="007958EC" w:rsidRPr="00BD0886">
        <w:t xml:space="preserve"> for failure to properly disclose the invention in the patented document itself. As part of the bargain of getting a limited monopoly right through a patent, </w:t>
      </w:r>
      <w:r w:rsidR="007958EC" w:rsidRPr="00BD0886">
        <w:lastRenderedPageBreak/>
        <w:t xml:space="preserve">patentees have a duty to satisfy strict requirements regarding the actual write-up and written description of the patent so as to ensure that a person of ordinary skill in the art reading the patent would be able to make and use the invention described in the patent. A patent can be invalidated if the patentee gives a </w:t>
      </w:r>
      <w:r w:rsidR="00EB0C5B" w:rsidRPr="00BD0886">
        <w:t>vague description of the invention</w:t>
      </w:r>
      <w:r w:rsidR="00316D11" w:rsidRPr="00BD0886">
        <w:t xml:space="preserve"> or a person in the art, reading the patent, would not know how to make it</w:t>
      </w:r>
      <w:r w:rsidR="00EB0C5B" w:rsidRPr="00BD0886">
        <w:t xml:space="preserve">. Challenging a patent for failure to satisfy either the written description or enablement requirement is something that can only be challenged in a district court proceeding, not at the PTAB. </w:t>
      </w:r>
    </w:p>
    <w:p w14:paraId="6DF081E9" w14:textId="17B498F9" w:rsidR="00316D11" w:rsidRPr="00BD0886" w:rsidRDefault="006F3423" w:rsidP="00C44032">
      <w:pPr>
        <w:pStyle w:val="NormalWeb"/>
        <w:ind w:firstLine="720"/>
      </w:pPr>
      <w:r w:rsidRPr="00BD0886">
        <w:t xml:space="preserve">  </w:t>
      </w:r>
      <w:r w:rsidR="00804505" w:rsidRPr="00BD0886">
        <w:t xml:space="preserve">There were several other notable changes as well to make the new process work better than its predecessor. </w:t>
      </w:r>
      <w:r w:rsidR="00C44032">
        <w:t>While like the PTAB, the B</w:t>
      </w:r>
      <w:r w:rsidR="004F3FDD">
        <w:t>oard of Patent Appeals and Interferences (the name of the entity hearing reexam cases)</w:t>
      </w:r>
      <w:r w:rsidR="00C44032">
        <w:t xml:space="preserve"> heard cases in panels of three judges,</w:t>
      </w:r>
      <w:r w:rsidR="00C44032">
        <w:rPr>
          <w:rStyle w:val="FootnoteReference"/>
        </w:rPr>
        <w:footnoteReference w:id="45"/>
      </w:r>
      <w:r w:rsidR="00C44032">
        <w:t xml:space="preserve"> BPAI proceedings were much less adversarial and adjudicative in nature, as the focus was more on reexamination.</w:t>
      </w:r>
      <w:r w:rsidR="00C44032">
        <w:rPr>
          <w:rStyle w:val="FootnoteReference"/>
        </w:rPr>
        <w:footnoteReference w:id="46"/>
      </w:r>
      <w:r w:rsidR="00C44032">
        <w:t xml:space="preserve"> BPAI proceedings also did not provide for evidentiary hearings or discovery.</w:t>
      </w:r>
      <w:r w:rsidR="00C44032">
        <w:rPr>
          <w:rStyle w:val="FootnoteReference"/>
        </w:rPr>
        <w:footnoteReference w:id="47"/>
      </w:r>
      <w:r w:rsidR="00C44032">
        <w:t xml:space="preserve"> </w:t>
      </w:r>
      <w:r w:rsidRPr="00BD0886">
        <w:t xml:space="preserve">When Congress changed the system in 2011 to add IPR, they changed some things to make it work more efficiently than its predecessor, </w:t>
      </w:r>
      <w:r w:rsidRPr="00BD0886">
        <w:rPr>
          <w:i/>
          <w:iCs/>
        </w:rPr>
        <w:t>inter partes</w:t>
      </w:r>
      <w:r w:rsidRPr="00BD0886">
        <w:t xml:space="preserve"> reexamination. </w:t>
      </w:r>
      <w:r w:rsidR="00316D11" w:rsidRPr="00BD0886">
        <w:t>One complaint about reex</w:t>
      </w:r>
      <w:r w:rsidR="00C44032">
        <w:t>a</w:t>
      </w:r>
      <w:r w:rsidR="00316D11" w:rsidRPr="00BD0886">
        <w:t xml:space="preserve">mination was that it took too long, making it a poor substitute for district court litigation. The AIA, through IPR, corrected that problem. Unlike </w:t>
      </w:r>
      <w:r w:rsidRPr="00BD0886">
        <w:t>reexamination, IPR proceeds on a statutorily-mandated fixed schedule that encourages quick decisions</w:t>
      </w:r>
      <w:r w:rsidR="00316D11" w:rsidRPr="00BD0886">
        <w:t xml:space="preserve"> with completion of a case within 18 months</w:t>
      </w:r>
      <w:r w:rsidRPr="00BD0886">
        <w:t xml:space="preserve">. Compared to the prior procedure, Congress also raised the evidentiary standard; while </w:t>
      </w:r>
      <w:r w:rsidRPr="00BD0886">
        <w:rPr>
          <w:i/>
          <w:iCs/>
        </w:rPr>
        <w:t>inter partes</w:t>
      </w:r>
      <w:r w:rsidRPr="00BD0886">
        <w:t xml:space="preserve"> reexamination required petitioners to raise a “substantial new question of patentability,” the new law raised the bar to a “reasonable likelihood that the requestor will prevail with respect to at least one claim.”</w:t>
      </w:r>
      <w:r w:rsidR="008916E1" w:rsidRPr="00BD0886">
        <w:rPr>
          <w:rStyle w:val="FootnoteReference"/>
        </w:rPr>
        <w:footnoteReference w:id="48"/>
      </w:r>
      <w:r w:rsidRPr="00BD0886">
        <w:t xml:space="preserve"> </w:t>
      </w:r>
      <w:r w:rsidR="00316D11" w:rsidRPr="00BD0886">
        <w:t>This is a lower standard that a challenger needs to prove at the district court – where a claim can only be invalidated through a showing of “clear and convincing” evidence.</w:t>
      </w:r>
    </w:p>
    <w:p w14:paraId="207C7779" w14:textId="065D51D1" w:rsidR="006F3423" w:rsidRPr="00BD0886" w:rsidRDefault="006F3423" w:rsidP="006F3423">
      <w:pPr>
        <w:pStyle w:val="NormalWeb"/>
        <w:ind w:firstLine="720"/>
      </w:pPr>
      <w:r w:rsidRPr="00BD0886">
        <w:t>Estoppel is also somewhat stricter</w:t>
      </w:r>
      <w:r w:rsidR="00316D11" w:rsidRPr="00BD0886">
        <w:t xml:space="preserve"> in IPR than in reexaminations. E</w:t>
      </w:r>
      <w:r w:rsidRPr="00BD0886">
        <w:t xml:space="preserve">stoppel now binds decisions earlier in time (before appeals), and restricts </w:t>
      </w:r>
      <w:r w:rsidRPr="00BD0886">
        <w:rPr>
          <w:i/>
          <w:iCs/>
        </w:rPr>
        <w:lastRenderedPageBreak/>
        <w:t>both</w:t>
      </w:r>
      <w:r w:rsidRPr="00BD0886">
        <w:t xml:space="preserve"> district court and any other future PTO actions.</w:t>
      </w:r>
      <w:r w:rsidRPr="00BD0886">
        <w:rPr>
          <w:rStyle w:val="FootnoteReference"/>
        </w:rPr>
        <w:footnoteReference w:id="49"/>
      </w:r>
      <w:r w:rsidRPr="00BD0886">
        <w:t xml:space="preserve"> </w:t>
      </w:r>
      <w:r w:rsidR="00EB7FC4" w:rsidRPr="00BD0886">
        <w:t>The AIA also sets out deadlines so as to encourage the filing of an IPR before too much time has elapsed in a district court proceeding, thus encouraging either the consecutive or ex</w:t>
      </w:r>
      <w:r w:rsidR="00882746" w:rsidRPr="00BD0886">
        <w:t>c</w:t>
      </w:r>
      <w:r w:rsidR="00EB7FC4" w:rsidRPr="00BD0886">
        <w:t>lusive use of IPR as a companion to district court litigation. Specifically, once served with a complaint in a district court litigation, one has one year in which to file a companion district court proceeding; failure to file wi</w:t>
      </w:r>
      <w:r w:rsidR="004F603C">
        <w:t>t</w:t>
      </w:r>
      <w:r w:rsidR="00EB7FC4" w:rsidRPr="00BD0886">
        <w:t>hin this one year time frame forecloses the opportunity to use an IPR to adjudge validity</w:t>
      </w:r>
      <w:r w:rsidRPr="00BD0886">
        <w:t>.</w:t>
      </w:r>
      <w:r w:rsidRPr="00BD0886">
        <w:rPr>
          <w:rStyle w:val="FootnoteReference"/>
        </w:rPr>
        <w:footnoteReference w:id="50"/>
      </w:r>
      <w:r w:rsidRPr="00BD0886">
        <w:t xml:space="preserve"> There are also other procedural changes; the new procedure allows deposition of witnesses and other discovery, as well as an oral hearing before a three-judge panel.</w:t>
      </w:r>
      <w:r w:rsidRPr="00BD0886">
        <w:rPr>
          <w:rStyle w:val="FootnoteReference"/>
        </w:rPr>
        <w:footnoteReference w:id="51"/>
      </w:r>
    </w:p>
    <w:p w14:paraId="62002BC8" w14:textId="2E4C3C15" w:rsidR="006F3423" w:rsidRPr="00BD0886" w:rsidRDefault="006F3423" w:rsidP="006F3423">
      <w:pPr>
        <w:pStyle w:val="NormalWeb"/>
        <w:ind w:firstLine="360"/>
        <w:rPr>
          <w:b/>
          <w:bCs/>
        </w:rPr>
      </w:pPr>
      <w:r w:rsidRPr="00BD0886">
        <w:t xml:space="preserve">By design, PTAB proceedings </w:t>
      </w:r>
      <w:r w:rsidR="00C44032">
        <w:t>should go</w:t>
      </w:r>
      <w:r w:rsidRPr="00BD0886">
        <w:t xml:space="preserve"> much faster than companion district court litigation</w:t>
      </w:r>
      <w:r w:rsidR="0092021C" w:rsidRPr="00BD0886">
        <w:t xml:space="preserve"> given the statutorily mandated deadlines</w:t>
      </w:r>
      <w:r w:rsidRPr="00BD0886">
        <w:t>.</w:t>
      </w:r>
      <w:r w:rsidRPr="00BD0886">
        <w:rPr>
          <w:rStyle w:val="FootnoteReference"/>
        </w:rPr>
        <w:footnoteReference w:id="52"/>
      </w:r>
      <w:r w:rsidRPr="00BD0886">
        <w:t xml:space="preserve"> Specifically, the PTAB has to decide whether to grant—or “institute”—a petition to initiate an IPR proceeding within six months of the date in which the parties petitioned for such review.</w:t>
      </w:r>
      <w:r w:rsidRPr="00BD0886">
        <w:rPr>
          <w:rStyle w:val="FootnoteReference"/>
        </w:rPr>
        <w:footnoteReference w:id="53"/>
      </w:r>
      <w:r w:rsidRPr="00BD0886">
        <w:t xml:space="preserve"> Once the PTAB decides whether or not to “institute” a review of the patent’s validity, they have a deadline of one year from the institution date in which to rule on the validity of petitioner’s challenge to the patent’s validity.</w:t>
      </w:r>
      <w:r w:rsidRPr="00BD0886">
        <w:rPr>
          <w:rStyle w:val="FootnoteReference"/>
        </w:rPr>
        <w:footnoteReference w:id="54"/>
      </w:r>
      <w:r w:rsidRPr="00BD0886">
        <w:t xml:space="preserve"> </w:t>
      </w:r>
      <w:r w:rsidR="0092021C" w:rsidRPr="00BD0886">
        <w:t xml:space="preserve">This results in an IPR being completed within about 18 months if instituted. </w:t>
      </w:r>
    </w:p>
    <w:p w14:paraId="74CCBEAC" w14:textId="54E9D699" w:rsidR="00804505" w:rsidRPr="00BD0886" w:rsidRDefault="007D4082" w:rsidP="00804505">
      <w:pPr>
        <w:pStyle w:val="NormalWeb"/>
        <w:ind w:firstLine="720"/>
      </w:pPr>
      <w:r w:rsidRPr="00BD0886">
        <w:t>As</w:t>
      </w:r>
      <w:r w:rsidR="00804505" w:rsidRPr="00BD0886">
        <w:t xml:space="preserve"> displayed in Figure 1, upon the filing of a petition, the PTAB issues a “notice of accord filing date” to serve as the template to calculate statutorily mandated deadlines. The patentee has a limited time to respond; once the petition has an acknowledged filing date, the patentee who</w:t>
      </w:r>
      <w:r w:rsidR="004F603C">
        <w:t>se</w:t>
      </w:r>
      <w:r w:rsidR="00804505" w:rsidRPr="00BD0886">
        <w:t xml:space="preserve"> patent was challenged has three months in which to file a “preliminary response” to the petition, should they choose so.</w:t>
      </w:r>
      <w:r w:rsidR="00804505" w:rsidRPr="00BD0886">
        <w:rPr>
          <w:rStyle w:val="FootnoteReference"/>
        </w:rPr>
        <w:footnoteReference w:id="55"/>
      </w:r>
      <w:r w:rsidR="00804505" w:rsidRPr="00BD0886">
        <w:t xml:space="preserve"> The PTAB then rules on the parties’ arguments. At this point in the procedure, within three months </w:t>
      </w:r>
      <w:r w:rsidR="00804505" w:rsidRPr="00BD0886">
        <w:lastRenderedPageBreak/>
        <w:t>of the patentee’s response date, the PTAB, sitting in panels of three judges, can grant or “institute” the challenged petition should they find that the petitioner has a “reasonable likelihood of succeeding on the merits” in their challenge to the patent’s validity.</w:t>
      </w:r>
      <w:r w:rsidR="00804505" w:rsidRPr="00BD0886">
        <w:rPr>
          <w:rStyle w:val="FootnoteReference"/>
        </w:rPr>
        <w:footnoteReference w:id="56"/>
      </w:r>
      <w:r w:rsidR="00804505" w:rsidRPr="00BD0886">
        <w:t xml:space="preserve"> The PTAB sits in panels of three judges in ruling on institution petitions. In ruling on institution, the panel does not make a decision on the merits concerning validity; it simply decides whether the case should be dismissed or whether the case should proceed further with the parties submitting further briefing before the actual merits of the case are decided.</w:t>
      </w:r>
    </w:p>
    <w:p w14:paraId="6DBBB3A8" w14:textId="77777777" w:rsidR="00804505" w:rsidRPr="00BD0886" w:rsidRDefault="00804505" w:rsidP="00804505">
      <w:pPr>
        <w:pStyle w:val="NormalWeb"/>
        <w:jc w:val="center"/>
        <w:rPr>
          <w:i/>
          <w:iCs/>
        </w:rPr>
      </w:pPr>
      <w:r w:rsidRPr="00BD0886">
        <w:rPr>
          <w:i/>
          <w:iCs/>
        </w:rPr>
        <w:t>Figure 1: PTAB Litigation Procedure</w:t>
      </w:r>
    </w:p>
    <w:p w14:paraId="54E838E1" w14:textId="77777777" w:rsidR="00804505" w:rsidRPr="00BD0886" w:rsidRDefault="00804505" w:rsidP="00804505">
      <w:pPr>
        <w:pStyle w:val="NormalWeb"/>
        <w:ind w:firstLine="720"/>
      </w:pPr>
      <w:r w:rsidRPr="00BD0886">
        <w:rPr>
          <w:noProof/>
        </w:rPr>
        <w:drawing>
          <wp:inline distT="0" distB="0" distL="0" distR="0" wp14:anchorId="2B8F6E55" wp14:editId="38886F7F">
            <wp:extent cx="4663440" cy="1243330"/>
            <wp:effectExtent l="0" t="0" r="0" b="1270"/>
            <wp:docPr id="1026" name="Picture 2" descr="PTAB trial proceeding timeline">
              <a:extLst xmlns:a="http://schemas.openxmlformats.org/drawingml/2006/main">
                <a:ext uri="{FF2B5EF4-FFF2-40B4-BE49-F238E27FC236}">
                  <a16:creationId xmlns:a16="http://schemas.microsoft.com/office/drawing/2014/main" id="{716C32D3-D52C-EB4F-B72C-C9C7D19D9C9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PTAB trial proceeding timeline">
                      <a:extLst>
                        <a:ext uri="{FF2B5EF4-FFF2-40B4-BE49-F238E27FC236}">
                          <a16:creationId xmlns:a16="http://schemas.microsoft.com/office/drawing/2014/main" id="{716C32D3-D52C-EB4F-B72C-C9C7D19D9C91}"/>
                        </a:ext>
                      </a:extLst>
                    </pic:cNvPr>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3440" cy="1243330"/>
                    </a:xfrm>
                    <a:prstGeom prst="rect">
                      <a:avLst/>
                    </a:prstGeom>
                    <a:noFill/>
                  </pic:spPr>
                </pic:pic>
              </a:graphicData>
            </a:graphic>
          </wp:inline>
        </w:drawing>
      </w:r>
    </w:p>
    <w:p w14:paraId="6BDAEB86" w14:textId="797A9143" w:rsidR="00804505" w:rsidRPr="00BD0886" w:rsidRDefault="00804505" w:rsidP="00804505">
      <w:pPr>
        <w:pStyle w:val="NormalWeb"/>
      </w:pPr>
      <w:r w:rsidRPr="00BD0886">
        <w:tab/>
      </w:r>
      <w:r w:rsidR="007D4082" w:rsidRPr="00BD0886">
        <w:t>A</w:t>
      </w:r>
      <w:r w:rsidRPr="00BD0886">
        <w:t>t the institution stage, the PTAB decides whether or not to grant the petition, with its decision either way not being appealable to a higher forum.</w:t>
      </w:r>
      <w:r w:rsidRPr="00BD0886">
        <w:rPr>
          <w:rStyle w:val="FootnoteReference"/>
        </w:rPr>
        <w:footnoteReference w:id="57"/>
      </w:r>
      <w:r w:rsidRPr="00BD0886">
        <w:t xml:space="preserve"> If institution is denied, the case—at least the case proceeding at the PTAB—ends and depending on whether the parties filed a motion to stay before the district court, the parties either end their dispute entirely or continue on with attacking the patent in the district court,</w:t>
      </w:r>
      <w:r w:rsidRPr="00BD0886">
        <w:rPr>
          <w:rStyle w:val="FootnoteReference"/>
        </w:rPr>
        <w:footnoteReference w:id="58"/>
      </w:r>
      <w:r w:rsidRPr="00BD0886">
        <w:t xml:space="preserve"> or the patentee can just decide to cancel any of the challenged claims on its own accord. The exact procedure followed by the PTAB at this point has changed over time. Before the Supreme Court’s decision in </w:t>
      </w:r>
      <w:r w:rsidRPr="00BD0886">
        <w:rPr>
          <w:i/>
          <w:iCs/>
        </w:rPr>
        <w:t>SAS Institute, Inc. v. Iancu</w:t>
      </w:r>
      <w:r w:rsidRPr="00BD0886">
        <w:t>,</w:t>
      </w:r>
      <w:r w:rsidRPr="00BD0886">
        <w:rPr>
          <w:rStyle w:val="FootnoteReference"/>
        </w:rPr>
        <w:footnoteReference w:id="59"/>
      </w:r>
      <w:r w:rsidRPr="00BD0886">
        <w:t xml:space="preserve"> when issuing a decision to institute, the PTAB granted or denied review for each claim, with the result that some cases were “partially instituted” for certain claims but not others.</w:t>
      </w:r>
      <w:r w:rsidRPr="00BD0886">
        <w:rPr>
          <w:rStyle w:val="FootnoteReference"/>
        </w:rPr>
        <w:footnoteReference w:id="60"/>
      </w:r>
      <w:r w:rsidRPr="00BD0886">
        <w:t xml:space="preserve"> The Supreme Court held this practice as </w:t>
      </w:r>
      <w:r w:rsidRPr="00BD0886">
        <w:lastRenderedPageBreak/>
        <w:t>contrary to the American Invents Act.</w:t>
      </w:r>
      <w:r w:rsidRPr="00BD0886">
        <w:rPr>
          <w:rStyle w:val="FootnoteReference"/>
        </w:rPr>
        <w:footnoteReference w:id="61"/>
      </w:r>
      <w:r w:rsidRPr="00BD0886">
        <w:t xml:space="preserve"> They ruled that when reviewing a petition, the PTAB must either grant the petition in its entirety—or deny it in its entirety—and write a decision on their opinion discussing any and all claims challenged by the petitioner.</w:t>
      </w:r>
      <w:r w:rsidRPr="00BD0886">
        <w:rPr>
          <w:rStyle w:val="FootnoteReference"/>
        </w:rPr>
        <w:footnoteReference w:id="62"/>
      </w:r>
      <w:r w:rsidR="007D4082" w:rsidRPr="00BD0886">
        <w:t xml:space="preserve"> Thus, if a patent was only challenged on certain claims, the PTAB must institute review on all of them, even if they do find much merit in some of the arguments. </w:t>
      </w:r>
    </w:p>
    <w:p w14:paraId="488A6113" w14:textId="48DC494A" w:rsidR="00804505" w:rsidRPr="00BD0886" w:rsidRDefault="00804505" w:rsidP="00804505">
      <w:pPr>
        <w:pStyle w:val="NormalWeb"/>
        <w:ind w:firstLine="720"/>
      </w:pPr>
      <w:r w:rsidRPr="00BD0886">
        <w:t xml:space="preserve">At this point in time, parties seeking review often file a motion for a stay if there is a simultaneous district court proceeding involving the same parties. About four </w:t>
      </w:r>
      <w:r w:rsidR="002E1BD7">
        <w:t xml:space="preserve">out </w:t>
      </w:r>
      <w:r w:rsidRPr="00BD0886">
        <w:t>of five IPRs challenged patents that had been the subject of a district court litigation.</w:t>
      </w:r>
      <w:r w:rsidRPr="00BD0886">
        <w:rPr>
          <w:rStyle w:val="FootnoteReference"/>
        </w:rPr>
        <w:footnoteReference w:id="63"/>
      </w:r>
      <w:r w:rsidRPr="00BD0886">
        <w:t xml:space="preserve"> At least in the first few years of the PTAB, about 80% of cases that are pending at the same time as a PTAB proceeding are stayed pending the PTAB outcome.</w:t>
      </w:r>
      <w:r w:rsidRPr="00BD0886">
        <w:rPr>
          <w:rStyle w:val="FootnoteReference"/>
        </w:rPr>
        <w:footnoteReference w:id="64"/>
      </w:r>
      <w:r w:rsidRPr="00BD0886">
        <w:t xml:space="preserve"> Once a petitioner is instituted, other parties may “</w:t>
      </w:r>
      <w:proofErr w:type="spellStart"/>
      <w:r w:rsidRPr="00BD0886">
        <w:t>copy cat</w:t>
      </w:r>
      <w:proofErr w:type="spellEnd"/>
      <w:r w:rsidRPr="00BD0886">
        <w:t>” such petition, with these “me too” petitions being joined to the original.</w:t>
      </w:r>
      <w:r w:rsidRPr="00BD0886">
        <w:rPr>
          <w:rStyle w:val="FootnoteReference"/>
        </w:rPr>
        <w:footnoteReference w:id="65"/>
      </w:r>
      <w:r w:rsidRPr="00BD0886">
        <w:t xml:space="preserve"> Once instituted, PTAB procedures mirror those in the district court, but with statutorily mandated time frames. Each party is given three months to do discovery and file a response to the PTAB’s institution decision or motions to amend.</w:t>
      </w:r>
      <w:r w:rsidRPr="00BD0886">
        <w:rPr>
          <w:rStyle w:val="FootnoteReference"/>
        </w:rPr>
        <w:footnoteReference w:id="66"/>
      </w:r>
      <w:r w:rsidRPr="00BD0886">
        <w:t xml:space="preserve"> When the petitioner’s three months are over, the patentee is given one month more of discovery and can file a sur reply brief to the petitioner’s post-institution arguments.</w:t>
      </w:r>
      <w:r w:rsidRPr="00BD0886">
        <w:rPr>
          <w:rStyle w:val="FootnoteReference"/>
        </w:rPr>
        <w:footnoteReference w:id="67"/>
      </w:r>
      <w:r w:rsidRPr="00BD0886">
        <w:t xml:space="preserve"> Parties are given extremely limited opportunity to make amendments.</w:t>
      </w:r>
      <w:r w:rsidRPr="00BD0886">
        <w:rPr>
          <w:rStyle w:val="FootnoteReference"/>
        </w:rPr>
        <w:footnoteReference w:id="68"/>
      </w:r>
    </w:p>
    <w:p w14:paraId="7FBAF73B" w14:textId="11E52A42" w:rsidR="00804505" w:rsidRPr="00BD0886" w:rsidRDefault="00804505" w:rsidP="00804505">
      <w:pPr>
        <w:pStyle w:val="NormalWeb"/>
        <w:ind w:firstLine="720"/>
      </w:pPr>
      <w:r w:rsidRPr="00BD0886">
        <w:t xml:space="preserve">Once briefing is completed, the </w:t>
      </w:r>
      <w:proofErr w:type="gramStart"/>
      <w:r w:rsidRPr="00BD0886">
        <w:t>three judge</w:t>
      </w:r>
      <w:proofErr w:type="gramEnd"/>
      <w:r w:rsidRPr="00BD0886">
        <w:t xml:space="preserve"> panel again hears the parties’ argument. The panel is often composed of the same judges who </w:t>
      </w:r>
      <w:r w:rsidRPr="00BD0886">
        <w:lastRenderedPageBreak/>
        <w:t xml:space="preserve">served when the institution decision was reached, but often, one or more of the judges are different so the panel of judges hearing the cases on the merits may vary from the one who decided to institute the case. A presiding judge authors the written opinion at both stages. Although colloquially referred to as “PTAB Trials,” the actual procedure at this stage is different from a typical trial in the district courts as it is much less formal. The PTAB hearings do not involve live testimony or </w:t>
      </w:r>
      <w:r w:rsidR="002E1BD7">
        <w:t xml:space="preserve">live </w:t>
      </w:r>
      <w:r w:rsidRPr="00BD0886">
        <w:t>examination of witnesses, for example, though oftentimes, the decision comes down to the panel deciding between competing experts on whether or not a patent is invalid on anticipation or obviousness grounds based on documentary prior art. The panel must issue a final decision on whether the challenged claims are valid within a year of the date of institution.</w:t>
      </w:r>
      <w:r w:rsidRPr="00BD0886">
        <w:rPr>
          <w:rStyle w:val="FootnoteReference"/>
        </w:rPr>
        <w:footnoteReference w:id="69"/>
      </w:r>
      <w:r w:rsidRPr="00BD0886">
        <w:t xml:space="preserve"> This is within 18 months from the petition’s original filing date.</w:t>
      </w:r>
      <w:r w:rsidRPr="00BD0886">
        <w:rPr>
          <w:rStyle w:val="FootnoteReference"/>
        </w:rPr>
        <w:footnoteReference w:id="70"/>
      </w:r>
      <w:r w:rsidRPr="00BD0886">
        <w:t xml:space="preserve"> Either party can file an appeal of the PTAB’s final written decision to the Court of Appeals for the Federal Circuit.</w:t>
      </w:r>
      <w:r w:rsidRPr="00BD0886">
        <w:rPr>
          <w:rStyle w:val="FootnoteReference"/>
        </w:rPr>
        <w:footnoteReference w:id="71"/>
      </w:r>
      <w:r w:rsidRPr="00BD0886">
        <w:t xml:space="preserve"> However, the level of deference given to the PTAB at this stage differs from the deference given a trial judge, especially a trial judge ruling on non-jury matters.</w:t>
      </w:r>
      <w:r w:rsidRPr="00BD0886">
        <w:rPr>
          <w:rStyle w:val="FootnoteReference"/>
        </w:rPr>
        <w:footnoteReference w:id="72"/>
      </w:r>
    </w:p>
    <w:p w14:paraId="0FBF5726" w14:textId="0F7F6536" w:rsidR="00212C46" w:rsidRDefault="00804505" w:rsidP="00B33D72">
      <w:pPr>
        <w:pStyle w:val="NormalWeb"/>
        <w:ind w:firstLine="720"/>
      </w:pPr>
      <w:r w:rsidRPr="00BD0886">
        <w:t>The PTAB’s final decision on the merits of the case has an immediate impact on future challenges to the patent. The petitioner who brought the case is estopped at that point from challenging the patent on the specific grounds they raised in the petition, although they remain free to challenge the patent on other grounds.</w:t>
      </w:r>
      <w:r w:rsidRPr="00BD0886">
        <w:rPr>
          <w:rStyle w:val="FootnoteReference"/>
        </w:rPr>
        <w:footnoteReference w:id="73"/>
      </w:r>
      <w:r w:rsidRPr="00BD0886">
        <w:t xml:space="preserve"> Thus, they are only estopped as to the particular prior art patents and publications they brought before the PTAB in their petition and that the PTAB ruled on. They are free to pursue claims in the district court based on other</w:t>
      </w:r>
      <w:r w:rsidR="000473FD" w:rsidRPr="00BD0886">
        <w:t xml:space="preserve"> challenges to patentability as described earlier such as if the alleged invalidating art was not documentary prior art or there was a dispute concerning how clearly the patent’s description was</w:t>
      </w:r>
      <w:r w:rsidRPr="00BD0886">
        <w:t xml:space="preserve">. In addition, the PTAB proceeding is unique as to the </w:t>
      </w:r>
      <w:r w:rsidRPr="00BD0886">
        <w:lastRenderedPageBreak/>
        <w:t>claims challenged; if the PTAB proceeding involved only certain claims, the parties remain free to litigate other claims in the district courts.</w:t>
      </w:r>
    </w:p>
    <w:p w14:paraId="1ACCB665" w14:textId="77777777" w:rsidR="0094162B" w:rsidRDefault="0094162B" w:rsidP="0094162B">
      <w:pPr>
        <w:pStyle w:val="NormalWeb"/>
        <w:numPr>
          <w:ilvl w:val="0"/>
          <w:numId w:val="30"/>
        </w:numPr>
        <w:spacing w:before="0" w:beforeAutospacing="0" w:after="0" w:afterAutospacing="0"/>
      </w:pPr>
      <w:r>
        <w:t>Scholarly Literature on the Workings of the PTAB.</w:t>
      </w:r>
    </w:p>
    <w:p w14:paraId="3A7DEE8C" w14:textId="77777777" w:rsidR="0094162B" w:rsidRDefault="0094162B" w:rsidP="0094162B">
      <w:pPr>
        <w:pStyle w:val="NormalWeb"/>
        <w:spacing w:before="0" w:beforeAutospacing="0" w:after="0" w:afterAutospacing="0"/>
        <w:ind w:left="1080"/>
      </w:pPr>
    </w:p>
    <w:p w14:paraId="0C3550FF" w14:textId="77777777" w:rsidR="0094162B" w:rsidRDefault="0094162B" w:rsidP="0094162B">
      <w:pPr>
        <w:pStyle w:val="NormalWeb"/>
        <w:spacing w:before="0" w:beforeAutospacing="0" w:after="0" w:afterAutospacing="0"/>
        <w:ind w:firstLine="720"/>
      </w:pPr>
      <w:r>
        <w:t xml:space="preserve">A growing body of work has examined </w:t>
      </w:r>
      <w:r>
        <w:rPr>
          <w:i/>
          <w:iCs/>
        </w:rPr>
        <w:t>inter partes</w:t>
      </w:r>
      <w:r>
        <w:t xml:space="preserve"> review.</w:t>
      </w:r>
      <w:r>
        <w:rPr>
          <w:rStyle w:val="FootnoteReference"/>
        </w:rPr>
        <w:footnoteReference w:id="74"/>
      </w:r>
      <w:r>
        <w:t xml:space="preserve"> But analysis focused on mostly its early years. Saurabh </w:t>
      </w:r>
      <w:proofErr w:type="spellStart"/>
      <w:r>
        <w:t>Vishnubhakat</w:t>
      </w:r>
      <w:proofErr w:type="spellEnd"/>
      <w:r>
        <w:t xml:space="preserve">, Arti Rai, and Jay </w:t>
      </w:r>
      <w:proofErr w:type="spellStart"/>
      <w:r>
        <w:t>Kesan</w:t>
      </w:r>
      <w:proofErr w:type="spellEnd"/>
      <w:r>
        <w:t xml:space="preserve"> conducted a review of district court and IPR filings for the earlier years of the PTAB between 2011 and 2015.</w:t>
      </w:r>
      <w:r>
        <w:rPr>
          <w:rStyle w:val="FootnoteReference"/>
        </w:rPr>
        <w:footnoteReference w:id="75"/>
      </w:r>
      <w:r>
        <w:t xml:space="preserve"> They concluded that while a majority of IPR requests are filed by district court defendants (80%), only a small minority of district court defendants file PTAB proceedings.</w:t>
      </w:r>
      <w:r>
        <w:rPr>
          <w:rStyle w:val="FootnoteReference"/>
        </w:rPr>
        <w:footnoteReference w:id="76"/>
      </w:r>
      <w:r>
        <w:t xml:space="preserve"> Partly because the Eastern District of Texas is reluctant to grant stays pending PTO action, a disproportionate number of litigants from the Eastern District of Texas as well as the District of Delaware and the Northern District of California end up filing for IPR.</w:t>
      </w:r>
      <w:r>
        <w:rPr>
          <w:rStyle w:val="FootnoteReference"/>
        </w:rPr>
        <w:footnoteReference w:id="77"/>
      </w:r>
      <w:r>
        <w:t xml:space="preserve"> They also conclude that while about 70% of PTAB proceedings are in effect substitutes for district court litigation, a significant number (about 30%) of IPRs are not substitutes as the petitioner is not the target of a prior lawsuit.</w:t>
      </w:r>
      <w:r>
        <w:rPr>
          <w:rStyle w:val="FootnoteReference"/>
        </w:rPr>
        <w:footnoteReference w:id="78"/>
      </w:r>
      <w:r>
        <w:t xml:space="preserve"> Rochelle Dreyfuss similarly examined the first two years of the PTAB, opining that there are both “institutional and normative reasons” to grant the PTAB a larger role in the development of patent law.</w:t>
      </w:r>
      <w:r>
        <w:rPr>
          <w:rStyle w:val="FootnoteReference"/>
        </w:rPr>
        <w:footnoteReference w:id="79"/>
      </w:r>
      <w:r>
        <w:t xml:space="preserve"> Other scholars did empirical work of the earlier years at the PTAB. Brian Love, Shawn Miller, and Shawn </w:t>
      </w:r>
      <w:proofErr w:type="spellStart"/>
      <w:r>
        <w:t>Ambwani</w:t>
      </w:r>
      <w:proofErr w:type="spellEnd"/>
      <w:r>
        <w:t xml:space="preserve"> looked at the outcomes of </w:t>
      </w:r>
      <w:r>
        <w:rPr>
          <w:i/>
          <w:iCs/>
        </w:rPr>
        <w:t>inter partes</w:t>
      </w:r>
      <w:r>
        <w:t xml:space="preserve"> review to assess what factors impact how the PTAB rules in IPR proceedings.</w:t>
      </w:r>
      <w:r>
        <w:rPr>
          <w:rStyle w:val="FootnoteReference"/>
        </w:rPr>
        <w:footnoteReference w:id="80"/>
      </w:r>
      <w:r>
        <w:t xml:space="preserve"> They find that there is a significant relationship between validity and certain characteristics of the patent, the patentee, the patent prosecutor and examiner, and the prosecution history.</w:t>
      </w:r>
      <w:r>
        <w:rPr>
          <w:rStyle w:val="FootnoteReference"/>
        </w:rPr>
        <w:footnoteReference w:id="81"/>
      </w:r>
      <w:r>
        <w:t xml:space="preserve">  For example, they find that patents prosecuted by large law firms, patents granted on drug products, and patents that are more “wordy” in its claims, are more likely to survive IPR review, while small entity patentees, patents that are characterized by more technology types, and patents with more backward citations are less likely </w:t>
      </w:r>
      <w:r>
        <w:lastRenderedPageBreak/>
        <w:t>to survive IPR review.</w:t>
      </w:r>
      <w:r>
        <w:rPr>
          <w:rStyle w:val="FootnoteReference"/>
        </w:rPr>
        <w:footnoteReference w:id="82"/>
      </w:r>
      <w:r>
        <w:t xml:space="preserve"> In another article, Brian Love and Shawn </w:t>
      </w:r>
      <w:proofErr w:type="spellStart"/>
      <w:r>
        <w:t>Ambwani</w:t>
      </w:r>
      <w:proofErr w:type="spellEnd"/>
      <w:r>
        <w:t xml:space="preserve"> looked at the first two years of the IPR.</w:t>
      </w:r>
      <w:r>
        <w:rPr>
          <w:rStyle w:val="FootnoteReference"/>
        </w:rPr>
        <w:footnoteReference w:id="83"/>
      </w:r>
    </w:p>
    <w:p w14:paraId="45240BC0" w14:textId="77777777" w:rsidR="00CF3732" w:rsidRPr="007C32DA" w:rsidRDefault="00CF3732" w:rsidP="0094162B">
      <w:pPr>
        <w:pStyle w:val="NormalWeb"/>
        <w:spacing w:before="0" w:beforeAutospacing="0" w:after="0" w:afterAutospacing="0"/>
        <w:ind w:firstLine="720"/>
      </w:pPr>
    </w:p>
    <w:p w14:paraId="7470FBD5" w14:textId="302B1D80" w:rsidR="0094162B" w:rsidRDefault="0094162B" w:rsidP="0094162B">
      <w:pPr>
        <w:pStyle w:val="NormalWeb"/>
        <w:spacing w:before="0" w:beforeAutospacing="0" w:after="0" w:afterAutospacing="0"/>
        <w:ind w:firstLine="720"/>
      </w:pPr>
      <w:r>
        <w:t>More recently, Talia Bar and Brendan Costello analyze what factors predict whether PTAB challenges are filed in the first instance.</w:t>
      </w:r>
      <w:r>
        <w:rPr>
          <w:rStyle w:val="FootnoteReference"/>
        </w:rPr>
        <w:footnoteReference w:id="84"/>
      </w:r>
      <w:r>
        <w:t xml:space="preserve"> But this too is based on data from the early years. They collapsed data from pre-and-post American Invents Act (such that their data examined both </w:t>
      </w:r>
      <w:r w:rsidRPr="00821695">
        <w:rPr>
          <w:i/>
          <w:iCs/>
        </w:rPr>
        <w:t>inter partes</w:t>
      </w:r>
      <w:r>
        <w:t xml:space="preserve"> reexamination before 2012 and IPR after 2012), examining data from 2008 through 2015. They found that defendants requested an administrative challenge at the PTO in only 10% of the 60,000 infringement lawsuits during this time period.</w:t>
      </w:r>
      <w:r>
        <w:rPr>
          <w:rStyle w:val="FootnoteReference"/>
        </w:rPr>
        <w:footnoteReference w:id="85"/>
      </w:r>
      <w:r>
        <w:t xml:space="preserve"> While this low rate may be partially explained by statutory eligibility and changes in the standards for joinder of multiple defendants, Bar and Costello argue that the low challenge rate likely is driven by quick resolution of district court litigation, with over 50% of the underlying district court cases being settled or resolved within one year.</w:t>
      </w:r>
      <w:r>
        <w:rPr>
          <w:rStyle w:val="FootnoteReference"/>
        </w:rPr>
        <w:footnoteReference w:id="86"/>
      </w:r>
      <w:r>
        <w:t xml:space="preserve"> Although the AIA increased the rate by which defendants avail themselves of administrative challenge, certain patents, such as small entity patents, are less likely to be challenged after the AIA then before the AIA.</w:t>
      </w:r>
      <w:r>
        <w:rPr>
          <w:rStyle w:val="FootnoteReference"/>
        </w:rPr>
        <w:footnoteReference w:id="87"/>
      </w:r>
      <w:r>
        <w:t xml:space="preserve"> In addition, they conclude that whether the defendant even pursues a challenge is dependent on the district court in which they were sued in, as well as in some ways by the actual judge assigned to the case, driven in part by the judge’s docket management practices.</w:t>
      </w:r>
      <w:r>
        <w:rPr>
          <w:rStyle w:val="FootnoteReference"/>
        </w:rPr>
        <w:footnoteReference w:id="88"/>
      </w:r>
      <w:r>
        <w:t xml:space="preserve"> For example, defendants are less likely to file for an administrative challenge when their cases are before judges who move their dockets quickly.</w:t>
      </w:r>
      <w:r>
        <w:rPr>
          <w:rStyle w:val="FootnoteReference"/>
        </w:rPr>
        <w:footnoteReference w:id="89"/>
      </w:r>
      <w:r>
        <w:t xml:space="preserve"> Bar and Costello also caution that the type of patents challenged has a self-selecting effect; they conclude that defendants avail themselves of administrative challenge involving patents of broad scope and high value.</w:t>
      </w:r>
      <w:r>
        <w:rPr>
          <w:rStyle w:val="FootnoteReference"/>
        </w:rPr>
        <w:footnoteReference w:id="90"/>
      </w:r>
    </w:p>
    <w:p w14:paraId="42EB85A5" w14:textId="77777777" w:rsidR="00CF3732" w:rsidRDefault="00CF3732" w:rsidP="0094162B">
      <w:pPr>
        <w:pStyle w:val="NormalWeb"/>
        <w:spacing w:before="0" w:beforeAutospacing="0" w:after="0" w:afterAutospacing="0"/>
        <w:ind w:firstLine="720"/>
      </w:pPr>
    </w:p>
    <w:p w14:paraId="2D7A193C" w14:textId="01178368" w:rsidR="0094162B" w:rsidRDefault="0094162B" w:rsidP="0094162B">
      <w:pPr>
        <w:pStyle w:val="NormalWeb"/>
        <w:spacing w:before="0" w:beforeAutospacing="0" w:after="0" w:afterAutospacing="0"/>
      </w:pPr>
      <w:r>
        <w:tab/>
        <w:t xml:space="preserve">In other recent work, again looking only at data from the PTAB’s first four years, Christian Helmers and Brian Love compared PTAB and district court outcomes from 2012 to 2016, and analyzed decision-making by parties at three distinct points in the proceeding: 1) the filing of a petition </w:t>
      </w:r>
      <w:r>
        <w:lastRenderedPageBreak/>
        <w:t>by an aggrieved party to challenge a patent’s validity; 2) the PTAB’s decision to grant or deny a petition based on a “reasonable likelihood of success”; and 3) the PTAB’s final decision regarding whether to conclude that the petitioner met its burden of showing the patent’s invalidity based on section 102 (anticipation) or section 103 (obviousness).</w:t>
      </w:r>
      <w:r>
        <w:rPr>
          <w:rStyle w:val="FootnoteReference"/>
        </w:rPr>
        <w:footnoteReference w:id="91"/>
      </w:r>
      <w:r>
        <w:t xml:space="preserve"> They conclude that all three points had “large effects” on whether parties settled simultaneous proceedings precisely because each of the PTAB’s actions yield useful information to the parties about the strength of their case.</w:t>
      </w:r>
      <w:r>
        <w:rPr>
          <w:rStyle w:val="FootnoteReference"/>
        </w:rPr>
        <w:footnoteReference w:id="92"/>
      </w:r>
      <w:r>
        <w:t xml:space="preserve"> Specifically, they concluded using statistical analysis disparate results: while petition filing increased the chance of a settlement,</w:t>
      </w:r>
      <w:r>
        <w:rPr>
          <w:rStyle w:val="FootnoteReference"/>
        </w:rPr>
        <w:footnoteReference w:id="93"/>
      </w:r>
      <w:r>
        <w:t xml:space="preserve"> parties were actually less likely to settle if the PTAB instituted a proceeding on the patent, signaling that the PTAB’s “preliminary assessment of validity” at that stage dampened settlement behavior.</w:t>
      </w:r>
      <w:r>
        <w:rPr>
          <w:rStyle w:val="FootnoteReference"/>
        </w:rPr>
        <w:footnoteReference w:id="94"/>
      </w:r>
      <w:r>
        <w:t xml:space="preserve"> Further, once the PTAB actually granted an institution, the proclivity of the parties to settle diminished, conditioned on the filing of a parallel IPR by the same party.</w:t>
      </w:r>
      <w:r>
        <w:rPr>
          <w:rStyle w:val="FootnoteReference"/>
        </w:rPr>
        <w:footnoteReference w:id="95"/>
      </w:r>
      <w:r>
        <w:t xml:space="preserve"> Helmers and Love also found contrasting results at the final stage of PTAB action: there, the PTAB’s effect depended on whether they held the patent valid in whole or in part.</w:t>
      </w:r>
      <w:r>
        <w:rPr>
          <w:rStyle w:val="FootnoteReference"/>
        </w:rPr>
        <w:footnoteReference w:id="96"/>
      </w:r>
      <w:r>
        <w:t xml:space="preserve"> If the PTAB affirmed the validity of the instituted claims, the parties were likely to settle, while if the PTAB sided with the petitioner on validity in whole or in part and partially invalidated the challenged patent, the parties became increasingly less likely to settle.</w:t>
      </w:r>
      <w:r>
        <w:rPr>
          <w:rStyle w:val="FootnoteReference"/>
        </w:rPr>
        <w:footnoteReference w:id="97"/>
      </w:r>
      <w:r>
        <w:t xml:space="preserve"> In all, Helmer and Love’s work underscore that the PTAB has a real world impact; by making an assessment of the patent’s validity early in the dispute, parties in simultaneous district court proceedings may act differently and settle before or after specified PTAB action, even if the case in district court rests on infringement grounds.</w:t>
      </w:r>
      <w:r>
        <w:rPr>
          <w:rStyle w:val="FootnoteReference"/>
        </w:rPr>
        <w:footnoteReference w:id="98"/>
      </w:r>
      <w:r>
        <w:t xml:space="preserve"> But there are also other ways the interplay between the PTAB and district court could affect outcomes. Some has suggested that defendants behave differently before district court judges than they might </w:t>
      </w:r>
      <w:r>
        <w:lastRenderedPageBreak/>
        <w:t>before a PTAB panel.</w:t>
      </w:r>
      <w:r>
        <w:rPr>
          <w:rStyle w:val="FootnoteReference"/>
        </w:rPr>
        <w:footnoteReference w:id="99"/>
      </w:r>
      <w:r>
        <w:t xml:space="preserve"> Others have argued that defendants may fare better at the PTAB because of the greater expertise of the judges.</w:t>
      </w:r>
      <w:r>
        <w:rPr>
          <w:rStyle w:val="FootnoteReference"/>
        </w:rPr>
        <w:footnoteReference w:id="100"/>
      </w:r>
    </w:p>
    <w:p w14:paraId="34800A27" w14:textId="77777777" w:rsidR="00CF3732" w:rsidRDefault="00CF3732" w:rsidP="0094162B">
      <w:pPr>
        <w:pStyle w:val="NormalWeb"/>
        <w:spacing w:before="0" w:beforeAutospacing="0" w:after="0" w:afterAutospacing="0"/>
      </w:pPr>
    </w:p>
    <w:p w14:paraId="212B7F7D" w14:textId="543AE7BD" w:rsidR="0094162B" w:rsidRPr="002E1BD7" w:rsidRDefault="0094162B" w:rsidP="0094162B">
      <w:pPr>
        <w:pStyle w:val="NormalWeb"/>
        <w:spacing w:before="0" w:beforeAutospacing="0" w:after="0" w:afterAutospacing="0"/>
      </w:pPr>
      <w:r>
        <w:tab/>
        <w:t xml:space="preserve">Much of the earlier concerns about the PTAB, namely those bemoaning the high invalidation rates, or those who were quick to cite the PTAB’s high invalidation rates, rested their conclusions on much of the earlier studies done in the first two or three years of the PTAB’s existence. It would not be unexpected that invalidations would be high during the first few years, with bad patents being challenged. This study thus contributes to the literature by analyzing nearly the first ten years of the PTAB’s existence, including decision making up to and including the </w:t>
      </w:r>
      <w:r w:rsidRPr="003F2D74">
        <w:rPr>
          <w:i/>
          <w:iCs/>
        </w:rPr>
        <w:t>Arthrex</w:t>
      </w:r>
      <w:r>
        <w:t xml:space="preserve"> decision.</w:t>
      </w:r>
    </w:p>
    <w:p w14:paraId="6E80D323" w14:textId="618097C3" w:rsidR="00CF3732" w:rsidRPr="00CF3732" w:rsidRDefault="00ED425B" w:rsidP="00CF3732">
      <w:pPr>
        <w:pStyle w:val="ListParagraph"/>
        <w:widowControl/>
        <w:numPr>
          <w:ilvl w:val="0"/>
          <w:numId w:val="30"/>
        </w:numPr>
        <w:spacing w:before="100" w:beforeAutospacing="1" w:after="100" w:afterAutospacing="1"/>
        <w:jc w:val="left"/>
        <w:rPr>
          <w:rFonts w:ascii="Times New Roman" w:hAnsi="Times New Roman"/>
          <w:color w:val="000000"/>
          <w:szCs w:val="24"/>
        </w:rPr>
      </w:pPr>
      <w:r w:rsidRPr="00E469A3">
        <w:rPr>
          <w:rFonts w:ascii="Times New Roman" w:hAnsi="Times New Roman"/>
          <w:color w:val="000000"/>
          <w:szCs w:val="24"/>
        </w:rPr>
        <w:t>Creation of Dataset</w:t>
      </w:r>
    </w:p>
    <w:p w14:paraId="1D09F126" w14:textId="7903D945" w:rsidR="002E1BD7" w:rsidRDefault="002E1BD7" w:rsidP="00ED425B">
      <w:r>
        <w:t xml:space="preserve">The empirical claims in this Article are based on two interrelated datasets. One dataset is a record of APJ’s demographic backgrounds based on the author’s FOIA requests to the PTO. The second dataset is based on a record of all IPR proceedings from September 2012 through December 2020. These datasets were then merged by the author of the institution decision as well as the author of the final </w:t>
      </w:r>
      <w:proofErr w:type="gramStart"/>
      <w:r>
        <w:t>merits</w:t>
      </w:r>
      <w:proofErr w:type="gramEnd"/>
      <w:r>
        <w:t xml:space="preserve"> decision (if applicable). The author (or the presiding) APJ is often the most important decision-maker in the case, so this analysis concerning the demographic information of the APJs primarily rests on analyzing the presider’s demographics. Future analysis may explore the impact that demographic factors may play in non-presider judges as well as the impact that so-called “panel effects” can play in influencing outcomes. </w:t>
      </w:r>
    </w:p>
    <w:p w14:paraId="23B31B43" w14:textId="2929A219" w:rsidR="00326AFA" w:rsidRDefault="00326AFA" w:rsidP="00ED425B"/>
    <w:p w14:paraId="3D3C5ADF" w14:textId="5F5D5F51" w:rsidR="00326AFA" w:rsidRDefault="00326AFA" w:rsidP="00326AFA">
      <w:pPr>
        <w:pStyle w:val="ListParagraph"/>
        <w:numPr>
          <w:ilvl w:val="0"/>
          <w:numId w:val="49"/>
        </w:numPr>
      </w:pPr>
      <w:r>
        <w:t>APJ Demographics</w:t>
      </w:r>
    </w:p>
    <w:p w14:paraId="1C1E9F5D" w14:textId="0D020EBB" w:rsidR="00326AFA" w:rsidRDefault="00326AFA" w:rsidP="00326AFA">
      <w:pPr>
        <w:ind w:firstLine="0"/>
      </w:pPr>
    </w:p>
    <w:p w14:paraId="3247F5B2" w14:textId="294B07D3" w:rsidR="00326AFA" w:rsidRDefault="00326AFA" w:rsidP="00326AFA">
      <w:r>
        <w:t xml:space="preserve">Information about the PTAB judges was independently collected focusing on the demographic features of the judges. The author filed two Freedom of Information Act (“FOIA”) requests from the PTO and obtained the CVs of approximately 224 judges, not all of whom currently hear cases at the PTAB. </w:t>
      </w:r>
      <w:r w:rsidR="002B2662">
        <w:t xml:space="preserve">The list was then expanded to include about 25 more judges who I did not receive CVs from but who had served on a panel in an IPR proceeding since 2012. </w:t>
      </w:r>
      <w:r>
        <w:t>To supplement the data collection, LinkedIn, law firm websites, newspapers, and other online resources were analyzed to collect information. I coded for their education, gender, minority status, scientific expertise, and prior employment to assess how those factors impact decision-</w:t>
      </w:r>
      <w:r>
        <w:lastRenderedPageBreak/>
        <w:t>making.</w:t>
      </w:r>
      <w:r>
        <w:rPr>
          <w:rStyle w:val="FootnoteReference"/>
        </w:rPr>
        <w:footnoteReference w:id="101"/>
      </w:r>
      <w:r>
        <w:t xml:space="preserve"> I collected information about their undergraduate major, and whether they had an advanced degree. Detailed information was also gathered on what law firms they worked for, their status at the firm, whether they previously worked at the PTO as an examiner or a lawyer, whether they previously served as an </w:t>
      </w:r>
      <w:proofErr w:type="gramStart"/>
      <w:r>
        <w:t>in house</w:t>
      </w:r>
      <w:proofErr w:type="gramEnd"/>
      <w:r>
        <w:t xml:space="preserve"> counsel to a corporation, prior clerkships as well as additional information. Certain judges were designated as “lead” judges due to their experience at the PTAB. The location where the judge was housed for administrative purposes was also noted; while most PTAB judges are based out of Arlington, Virginia, about a quarter reside in “satellite” offices in Texas, Colorado, Michigan, and California; in addition, some other judges are listed as based in New Jersey, Indiana, and other states; these judges were designated as being based out of Arlington. </w:t>
      </w:r>
    </w:p>
    <w:p w14:paraId="0DA97DEA" w14:textId="77777777" w:rsidR="00326AFA" w:rsidRDefault="00326AFA" w:rsidP="00326AFA"/>
    <w:p w14:paraId="22FBD5DB" w14:textId="78F541BB" w:rsidR="00326AFA" w:rsidRDefault="00326AFA" w:rsidP="00F54C8E">
      <w:r>
        <w:t>The PTAB hears cases generally in three-judge panels, with one judge designated as a presider. I coded for whether the presiding judge remained the presider throughout the case. I also coded for changes in the panel composition from the institution phase to the merits phase. In addition, matches were made to check whether the presiding judge had an undergraduate or graduate degree in the field of the invention. For ease of analysis, this preliminary analysis focuses on the demographic characteristics of the presider judge</w:t>
      </w:r>
      <w:r w:rsidR="00F54C8E">
        <w:t xml:space="preserve"> at the institution phase and the merits phase</w:t>
      </w:r>
      <w:r>
        <w:t xml:space="preserve">. </w:t>
      </w:r>
    </w:p>
    <w:p w14:paraId="1DF2AC2B" w14:textId="77777777" w:rsidR="002E1BD7" w:rsidRDefault="002E1BD7" w:rsidP="00ED425B"/>
    <w:p w14:paraId="4A7ADD12" w14:textId="21B17595" w:rsidR="002E1BD7" w:rsidRDefault="002E1BD7" w:rsidP="002E1BD7">
      <w:pPr>
        <w:pStyle w:val="ListParagraph"/>
        <w:numPr>
          <w:ilvl w:val="0"/>
          <w:numId w:val="49"/>
        </w:numPr>
      </w:pPr>
      <w:r>
        <w:t>Creation of IPR Dataset</w:t>
      </w:r>
    </w:p>
    <w:p w14:paraId="2FF89FD5" w14:textId="77777777" w:rsidR="002E1BD7" w:rsidRDefault="002E1BD7" w:rsidP="002E1BD7">
      <w:pPr>
        <w:pStyle w:val="ListParagraph"/>
        <w:ind w:firstLine="0"/>
      </w:pPr>
    </w:p>
    <w:p w14:paraId="557B9A34" w14:textId="01761690" w:rsidR="00ED425B" w:rsidRDefault="00ED425B" w:rsidP="00ED425B">
      <w:r>
        <w:t>The  USPTO has an API on its website that allows one to bulk download information related to each PTAB proceeding including the patent involved, the technology class, the statutory section at issue (i.e., section 103), the parties involved, the lawyers for all parties and their law firms, petition date, institution date, the decision date, and if the case is settled the settlement or dismissal date, as well as the PTAB’s response.</w:t>
      </w:r>
      <w:r>
        <w:rPr>
          <w:rStyle w:val="FootnoteReference"/>
        </w:rPr>
        <w:footnoteReference w:id="102"/>
      </w:r>
      <w:r>
        <w:t xml:space="preserve"> In addition, the database notes the date in which the petition was assigned a “Notice of Accord Filing Date.” The PTAB API also has a separate element to download indicated documents for each proceeding. One can then use Python and natural language processing (“NLP”) as well as programs like Able2Extract to </w:t>
      </w:r>
      <w:r>
        <w:lastRenderedPageBreak/>
        <w:t xml:space="preserve">explore more about each case and to convert PDF documents into workable Excel or Stata files to extract more information about each case.  There are 964,177 documents hosted by the PTO from 1997 to </w:t>
      </w:r>
      <w:r w:rsidR="004F603C">
        <w:t>2020</w:t>
      </w:r>
      <w:r w:rsidR="00636BD3">
        <w:t>, but the analysis here rests only on the IPR proceedings from September 2012 through December 2020</w:t>
      </w:r>
      <w:r>
        <w:t>. The author’s database includes the list of claims involved and/or canceled, as well as the specific prior art involved in each proceeding and comparisons between the prior art challenged at the PTAB and that in the district court.</w:t>
      </w:r>
      <w:r w:rsidR="00636BD3">
        <w:rPr>
          <w:rStyle w:val="FootnoteReference"/>
        </w:rPr>
        <w:footnoteReference w:id="103"/>
      </w:r>
      <w:r>
        <w:t xml:space="preserve"> In addition, I reviewed all IPR joinders to examine each individual petitioner’s challenge from the time it was petitioned to the time it was terminated.</w:t>
      </w:r>
      <w:r>
        <w:rPr>
          <w:rStyle w:val="FootnoteReference"/>
        </w:rPr>
        <w:footnoteReference w:id="104"/>
      </w:r>
      <w:r>
        <w:t xml:space="preserve"> Groups of petitions that were joined together was assessed, and petitions for joinder that were denied were analyzed as separate cases. I read each of the PTAB’s institution and merits discussion to confirm the extraction of the “Conclusion” sections on the results. In addition, I checked the </w:t>
      </w:r>
      <w:proofErr w:type="spellStart"/>
      <w:r>
        <w:t>codings</w:t>
      </w:r>
      <w:proofErr w:type="spellEnd"/>
      <w:r>
        <w:t xml:space="preserve"> using Lex Machina as well as Unified Patents, which compile information on the PTAB dockets. </w:t>
      </w:r>
    </w:p>
    <w:p w14:paraId="01D79622" w14:textId="77777777" w:rsidR="00ED425B" w:rsidRDefault="00ED425B" w:rsidP="00ED425B"/>
    <w:p w14:paraId="46A756A4" w14:textId="77777777" w:rsidR="00ED425B" w:rsidRDefault="00ED425B" w:rsidP="00ED425B">
      <w:r>
        <w:t>Additional information was added from other databases to enhance and confirm the information obtained from the PTAB API and the NLP reading of the documents. Using data from Unified Patents, I characterized each petitioner and patentee as one of six entities: government/non-profit, company, individual inventor, small entity, patent assertion entity (“PAE”) or university. In alternative specifications reaching similar results, I added information related to the petitioners and patent owners using the Stanford Non-Practicing Entity (“NPE”) database,</w:t>
      </w:r>
      <w:r>
        <w:rPr>
          <w:rStyle w:val="FootnoteReference"/>
        </w:rPr>
        <w:footnoteReference w:id="105"/>
      </w:r>
      <w:r>
        <w:t xml:space="preserve"> where parties in district court litigation are characterized as either one of thirteen types of entities such as an NPE, a university, or a corporate entity or start-up; these </w:t>
      </w:r>
      <w:proofErr w:type="spellStart"/>
      <w:r>
        <w:t>codings</w:t>
      </w:r>
      <w:proofErr w:type="spellEnd"/>
      <w:r>
        <w:t xml:space="preserve"> were then carried over to the PTAB database where applicable since even if there is not a corresponding district court litigation, in most cases petitioners appeared somewhere in the Stanford database, even if as a petitioner in another case. The technology class of each litigated patent was also adopted using one of the ten groupings given by the PTAB, including biotechnology, </w:t>
      </w:r>
      <w:r>
        <w:lastRenderedPageBreak/>
        <w:t>chemical inventions, computer architecture, computer networks, design patents, mechanical engineering, and related categories.</w:t>
      </w:r>
      <w:r>
        <w:rPr>
          <w:rStyle w:val="FootnoteReference"/>
        </w:rPr>
        <w:footnoteReference w:id="106"/>
      </w:r>
      <w:r>
        <w:t xml:space="preserve"> For ease of use, the computer categories were collapsed into one category. In future work, I hope to assess a measure of patent “complexity” so as to better compare outcomes between cases. Of course, patent cases are not randomly assigned and the lack of random assignment results in statistical inference problems. It is difficult to say, for example, whether a particular PTAB panel is being “hard” on the inventor unless one also controlled for complexity of the technology. While at first blush, it may seem that the PTAB is “harder” on inventors, there is a self-selection mechanism on cases that the PTAB hears, which could be related to patent complexity or some other factors, such as petitioner resources. </w:t>
      </w:r>
    </w:p>
    <w:p w14:paraId="1CB3A594" w14:textId="77777777" w:rsidR="00ED425B" w:rsidRDefault="00ED425B" w:rsidP="00ED425B"/>
    <w:p w14:paraId="73081EA4" w14:textId="2A4C3AB3" w:rsidR="00ED425B" w:rsidRPr="00A0681C" w:rsidRDefault="00ED425B" w:rsidP="00ED425B">
      <w:pPr>
        <w:rPr>
          <w:b/>
          <w:bCs/>
          <w:i/>
          <w:iCs/>
        </w:rPr>
      </w:pPr>
      <w:r>
        <w:t xml:space="preserve">In addition, data was collected on district court litigation involving the patents involved in the PTAB cases going as far back as the year 2000. Using a mix of sources, I created a separate database of approximately 75,000 district court decisions and their corresponding Federal Circuit decisions (if appealed) involving patent litigation from 2000 to present. To create and verify this database I reviewed Pacer (using issue code 830 and 835) downloading relevant documents such as the complaint and decisions on the merits such as summary judgment opinions or opinions on motions to dismiss. In addition to Pacer which served as the primary mechanism of creation, I also used other databases to add to and confirm the </w:t>
      </w:r>
      <w:proofErr w:type="spellStart"/>
      <w:r>
        <w:t>codings</w:t>
      </w:r>
      <w:proofErr w:type="spellEnd"/>
      <w:r>
        <w:t>, including the Federal Judicial Center Integrated Data Base (which has information going back to 1988),</w:t>
      </w:r>
      <w:r>
        <w:rPr>
          <w:rStyle w:val="FootnoteReference"/>
        </w:rPr>
        <w:footnoteReference w:id="107"/>
      </w:r>
      <w:r>
        <w:t xml:space="preserve"> the USPTO Docket Reports Litigation Database (which contains data from 2003-2016),</w:t>
      </w:r>
      <w:r>
        <w:rPr>
          <w:rStyle w:val="FootnoteReference"/>
        </w:rPr>
        <w:footnoteReference w:id="108"/>
      </w:r>
      <w:r>
        <w:t xml:space="preserve"> the Federal Circuit website, Lex Machina, Lexis </w:t>
      </w:r>
      <w:proofErr w:type="spellStart"/>
      <w:r>
        <w:t>Courtlink</w:t>
      </w:r>
      <w:proofErr w:type="spellEnd"/>
      <w:r>
        <w:t xml:space="preserve">, and Unified Patent, which has a comprehensive database of district court litigation going back to 2010 updated each day. As with the PTAB database, I independently read each case to come up with a final decision and compared my result to those obtained from other sources; where there was a discrepancy, I relied on my own reading of the case. In addition, using Python and natural language </w:t>
      </w:r>
      <w:r>
        <w:lastRenderedPageBreak/>
        <w:t xml:space="preserve">processing, I also downloaded the complaint, opinion, and relevant other documents to conduct additional text analysis of relevant documents. I obtained information on the technology class, the lawyers and law firms involved, relevant dates, and other information similar to what I obtained for the PTAB database. In addition, information about individual patents was obtained from some of the PTO’s </w:t>
      </w:r>
      <w:proofErr w:type="spellStart"/>
      <w:r>
        <w:t>PatentsView</w:t>
      </w:r>
      <w:proofErr w:type="spellEnd"/>
      <w:r>
        <w:t xml:space="preserve"> databases, such as the technology class, information about the identity of the inventor, such as the inventor’s gender, and information about the forward and backward number of citations </w:t>
      </w:r>
      <w:proofErr w:type="gramStart"/>
      <w:r>
        <w:t>so as to</w:t>
      </w:r>
      <w:proofErr w:type="gramEnd"/>
      <w:r>
        <w:t xml:space="preserve"> get a measure of patent complexity. </w:t>
      </w:r>
    </w:p>
    <w:p w14:paraId="26A67FA4" w14:textId="77777777" w:rsidR="00ED425B" w:rsidRDefault="00ED425B" w:rsidP="00ED425B">
      <w:pPr>
        <w:ind w:firstLine="0"/>
      </w:pPr>
    </w:p>
    <w:p w14:paraId="5C7B90DE" w14:textId="2C81D45B" w:rsidR="00ED425B" w:rsidRDefault="00ED425B" w:rsidP="00ED425B">
      <w:pPr>
        <w:pStyle w:val="ListParagraph"/>
        <w:numPr>
          <w:ilvl w:val="0"/>
          <w:numId w:val="30"/>
        </w:numPr>
      </w:pPr>
      <w:r>
        <w:t>Empirical Insights</w:t>
      </w:r>
    </w:p>
    <w:p w14:paraId="0BBC6554" w14:textId="5587F8D1" w:rsidR="007342DE" w:rsidRDefault="007342DE" w:rsidP="007342DE">
      <w:pPr>
        <w:pStyle w:val="ListParagraph"/>
        <w:ind w:left="1080" w:firstLine="0"/>
      </w:pPr>
    </w:p>
    <w:p w14:paraId="5C6157B2" w14:textId="257115A4" w:rsidR="007342DE" w:rsidRDefault="007342DE" w:rsidP="007342DE">
      <w:pPr>
        <w:pStyle w:val="ListParagraph"/>
        <w:numPr>
          <w:ilvl w:val="0"/>
          <w:numId w:val="47"/>
        </w:numPr>
      </w:pPr>
      <w:r>
        <w:t>Who Are the APJs?</w:t>
      </w:r>
    </w:p>
    <w:p w14:paraId="7E57F7EF" w14:textId="20AAE119" w:rsidR="007342DE" w:rsidRDefault="007342DE" w:rsidP="007342DE"/>
    <w:p w14:paraId="568A4210" w14:textId="0C8AA796" w:rsidR="007342DE" w:rsidRDefault="009912E4" w:rsidP="007342DE">
      <w:r>
        <w:t xml:space="preserve">Who are the APJs? In examining how federal courts make decisions, analysis has largely focused on how judge demographics affects decision-making, particularly the role that political party of the appointing President, as well as the role that race and gender may play in impacting decisions. </w:t>
      </w:r>
      <w:r w:rsidR="00651E64">
        <w:t>Such data on the federal judiciary is easy to collect since it is readily available from the Federal Judicial Center. It is more of a “black box” on who administrative adjudicators actually are, although there have been some studies in this regard.</w:t>
      </w:r>
      <w:r w:rsidR="00651E64">
        <w:rPr>
          <w:rStyle w:val="FootnoteReference"/>
        </w:rPr>
        <w:footnoteReference w:id="109"/>
      </w:r>
    </w:p>
    <w:p w14:paraId="4FFAB3ED" w14:textId="77777777" w:rsidR="004A150C" w:rsidRDefault="004A150C" w:rsidP="004A150C">
      <w:pPr>
        <w:pStyle w:val="NormalWeb"/>
        <w:ind w:firstLine="720"/>
      </w:pPr>
      <w:r>
        <w:t>The enactment of the AIA prompted the agency to fundamentally alter the PTO’s administrative machinery, resulting in the Director at the time calling it “the most significant overhaul to the patent system, since the founding fathers first conceived of codifying a grand bargain between society and invention.”</w:t>
      </w:r>
      <w:r>
        <w:rPr>
          <w:rStyle w:val="FootnoteReference"/>
        </w:rPr>
        <w:footnoteReference w:id="110"/>
      </w:r>
      <w:r>
        <w:t xml:space="preserve"> Through December 2020, in its IPR proceedings the PTAB had adjudicated claims of over 7,800 patents, resulting in the agency tripling the number of APJs the agency hired.</w:t>
      </w:r>
      <w:r>
        <w:rPr>
          <w:rStyle w:val="FootnoteReference"/>
        </w:rPr>
        <w:footnoteReference w:id="111"/>
      </w:r>
      <w:r>
        <w:t xml:space="preserve"> Yet, while there have been some studies done on the demographics of agency adjudicators, we know very little about whom the APJs in IPR proceedings actually are. I obtained through a FOIA request the resumes of the indicated judges, and supplemented with data from LinkedIn and law firm websites, I was able to </w:t>
      </w:r>
      <w:r>
        <w:lastRenderedPageBreak/>
        <w:t>paint a picture concerning the demographics of the approximately 250 judges who heard cases since 2012 through 2020.</w:t>
      </w:r>
    </w:p>
    <w:p w14:paraId="438D7C94" w14:textId="451CFBE4" w:rsidR="00201390" w:rsidRDefault="004A150C" w:rsidP="00BA2C42">
      <w:pPr>
        <w:pStyle w:val="NormalWeb"/>
        <w:ind w:firstLine="720"/>
      </w:pPr>
      <w:r>
        <w:t>Overall, APJs</w:t>
      </w:r>
      <w:r w:rsidR="00201390">
        <w:t xml:space="preserve"> (focused on the PTAB judges that do IPRs</w:t>
      </w:r>
      <w:r w:rsidR="009946C4">
        <w:t>)</w:t>
      </w:r>
      <w:r>
        <w:t xml:space="preserve"> are not a diverse lot, with 69% male and only 19% minority. APJs are highly educated, with about 35% having an advanced degree, with 10% of those having a </w:t>
      </w:r>
      <w:proofErr w:type="spellStart"/>
      <w:r>
        <w:t>Ph.d</w:t>
      </w:r>
      <w:r w:rsidR="00F86D96">
        <w:t>.</w:t>
      </w:r>
      <w:proofErr w:type="spellEnd"/>
      <w:r>
        <w:t xml:space="preserve"> degree (two APJs had a medical degree as well).  The average age is 4</w:t>
      </w:r>
      <w:r w:rsidR="00F86D96">
        <w:t>9</w:t>
      </w:r>
      <w:r>
        <w:t xml:space="preserve"> (based off year of college degree), with a range between 37 and 79. About 19% previously served as a clerk to one of the judges at the Federal Circuit. Based on their masters or undergraduate field, </w:t>
      </w:r>
      <w:r w:rsidR="00BA2C42">
        <w:t xml:space="preserve">as detailed in Figure 2, </w:t>
      </w:r>
      <w:r>
        <w:t xml:space="preserve">APJs hail from all fields of study, with the largest hailing from electronical engineering and semiconductors (24%), chemical engineering (22%) or biotechnology (22%), with an additional 20% also having two concentrations. Usually APJs with two concentrations (a different </w:t>
      </w:r>
      <w:proofErr w:type="gramStart"/>
      <w:r>
        <w:t>masters</w:t>
      </w:r>
      <w:proofErr w:type="gramEnd"/>
      <w:r>
        <w:t xml:space="preserve"> field from undergrad field for example) involve APJs who studied engineering and computer science (about 15%) or chemistry and biology (10%).</w:t>
      </w:r>
    </w:p>
    <w:p w14:paraId="2C72F404" w14:textId="081A2F1A" w:rsidR="00201390" w:rsidRPr="00A235FA" w:rsidRDefault="00BA2C42" w:rsidP="00A235FA">
      <w:pPr>
        <w:pStyle w:val="NormalWeb"/>
        <w:jc w:val="center"/>
        <w:rPr>
          <w:i/>
          <w:iCs/>
        </w:rPr>
      </w:pPr>
      <w:r w:rsidRPr="00A235FA">
        <w:rPr>
          <w:i/>
          <w:iCs/>
        </w:rPr>
        <w:t>Figure</w:t>
      </w:r>
      <w:r w:rsidR="00201390" w:rsidRPr="00A235FA">
        <w:rPr>
          <w:i/>
          <w:iCs/>
        </w:rPr>
        <w:t xml:space="preserve"> </w:t>
      </w:r>
      <w:r w:rsidRPr="00A235FA">
        <w:rPr>
          <w:i/>
          <w:iCs/>
        </w:rPr>
        <w:t>2</w:t>
      </w:r>
      <w:r w:rsidR="00201390" w:rsidRPr="00A235FA">
        <w:rPr>
          <w:i/>
          <w:iCs/>
        </w:rPr>
        <w:t>: Fields of Study of IPR Judges</w:t>
      </w:r>
    </w:p>
    <w:p w14:paraId="181570AE" w14:textId="77777777" w:rsidR="004A150C" w:rsidRDefault="004A150C" w:rsidP="004A150C">
      <w:pPr>
        <w:pStyle w:val="NormalWeb"/>
        <w:ind w:firstLine="720"/>
      </w:pPr>
      <w:r w:rsidRPr="00D23F20">
        <w:rPr>
          <w:noProof/>
        </w:rPr>
        <w:drawing>
          <wp:inline distT="0" distB="0" distL="0" distR="0" wp14:anchorId="34609CF6" wp14:editId="7972551E">
            <wp:extent cx="4663440" cy="3497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3440" cy="3497580"/>
                    </a:xfrm>
                    <a:prstGeom prst="rect">
                      <a:avLst/>
                    </a:prstGeom>
                  </pic:spPr>
                </pic:pic>
              </a:graphicData>
            </a:graphic>
          </wp:inline>
        </w:drawing>
      </w:r>
    </w:p>
    <w:p w14:paraId="10A897E0" w14:textId="0DBD8651" w:rsidR="00201390" w:rsidRDefault="004A150C" w:rsidP="00A235FA">
      <w:pPr>
        <w:pStyle w:val="NormalWeb"/>
        <w:ind w:firstLine="720"/>
      </w:pPr>
      <w:r>
        <w:lastRenderedPageBreak/>
        <w:t xml:space="preserve">APJs </w:t>
      </w:r>
      <w:r w:rsidR="004B206D">
        <w:t xml:space="preserve">are </w:t>
      </w:r>
      <w:r>
        <w:t>geographically dispersed as well</w:t>
      </w:r>
      <w:r w:rsidR="00BA2C42">
        <w:t xml:space="preserve"> </w:t>
      </w:r>
      <w:r w:rsidR="004B206D">
        <w:t xml:space="preserve">as </w:t>
      </w:r>
      <w:r w:rsidR="00BA2C42">
        <w:t>shown in Figure 3</w:t>
      </w:r>
      <w:r>
        <w:t>. While 70% are based in the Arlington, Virginia office, about 30% of APJs are scattered throughout the country or on one of the “satellite” offices in Texas (8%), Colorado (6%), Michigan (3%), California (10%) or another location such as New Jersey or Indiana (5%).</w:t>
      </w:r>
      <w:r>
        <w:rPr>
          <w:rStyle w:val="FootnoteReference"/>
        </w:rPr>
        <w:footnoteReference w:id="112"/>
      </w:r>
      <w:r>
        <w:t xml:space="preserve"> Even within these “satellite” offices, PTAB judges are dispersed. For example, some PTAB judges in Texas are based in Austin, while others are based in Dallas.</w:t>
      </w:r>
    </w:p>
    <w:p w14:paraId="7D3B42FF" w14:textId="65863DA6" w:rsidR="00A235FA" w:rsidRDefault="00A235FA" w:rsidP="00A235FA">
      <w:pPr>
        <w:pStyle w:val="NormalWeb"/>
        <w:ind w:firstLine="720"/>
      </w:pPr>
    </w:p>
    <w:p w14:paraId="69F803CF" w14:textId="77777777" w:rsidR="00A235FA" w:rsidRDefault="00A235FA" w:rsidP="00A235FA">
      <w:pPr>
        <w:pStyle w:val="NormalWeb"/>
        <w:ind w:firstLine="720"/>
      </w:pPr>
    </w:p>
    <w:p w14:paraId="0DBFC1F1" w14:textId="2EB8B0BD" w:rsidR="00201390" w:rsidRPr="00A235FA" w:rsidRDefault="00BA2C42" w:rsidP="00A235FA">
      <w:pPr>
        <w:pStyle w:val="NormalWeb"/>
        <w:jc w:val="center"/>
        <w:rPr>
          <w:i/>
          <w:iCs/>
        </w:rPr>
      </w:pPr>
      <w:r w:rsidRPr="00A235FA">
        <w:rPr>
          <w:i/>
          <w:iCs/>
        </w:rPr>
        <w:t>Figure 3:</w:t>
      </w:r>
      <w:r w:rsidR="00201390" w:rsidRPr="00A235FA">
        <w:rPr>
          <w:i/>
          <w:iCs/>
        </w:rPr>
        <w:t xml:space="preserve"> Geographic Location of IPR Judges</w:t>
      </w:r>
    </w:p>
    <w:p w14:paraId="084DF6C8" w14:textId="77777777" w:rsidR="004A150C" w:rsidRDefault="004A150C" w:rsidP="004A150C">
      <w:pPr>
        <w:pStyle w:val="NormalWeb"/>
        <w:ind w:firstLine="720"/>
      </w:pPr>
      <w:r w:rsidRPr="00D23F20">
        <w:rPr>
          <w:noProof/>
        </w:rPr>
        <w:drawing>
          <wp:inline distT="0" distB="0" distL="0" distR="0" wp14:anchorId="3238523D" wp14:editId="35B7CF31">
            <wp:extent cx="4663440" cy="3497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3440" cy="3497580"/>
                    </a:xfrm>
                    <a:prstGeom prst="rect">
                      <a:avLst/>
                    </a:prstGeom>
                  </pic:spPr>
                </pic:pic>
              </a:graphicData>
            </a:graphic>
          </wp:inline>
        </w:drawing>
      </w:r>
    </w:p>
    <w:p w14:paraId="32011812" w14:textId="11F0F71B" w:rsidR="004A150C" w:rsidRDefault="004A150C" w:rsidP="004A150C">
      <w:pPr>
        <w:pStyle w:val="NormalWeb"/>
      </w:pPr>
      <w:r>
        <w:tab/>
        <w:t xml:space="preserve">PTAB judges come from a vast array of career experiences. Most have some experience working at a law firm either as a partner, counsel, or associate (79%), with the majority working at one of the top twenty intellectual property firms in the United States at some point in their career. </w:t>
      </w:r>
      <w:r>
        <w:lastRenderedPageBreak/>
        <w:t xml:space="preserve">Over 44% were a partner in a law firm at some point before they took the PTAB judge, with 9% serving as counsel in a law firm. A much smaller group of PTAB judges have any experience serving in house at a technology company; only about 20% of PTAB judges served in house, and most of those who served in house did so for the majority of their careers. Inhouse lawyers came to the PTAB directly or within a few years from Blackberry, Apple, RIM, Accenture, Cisco, Corel, General Electric, Medtronic, Sony, E.I. DuPont, Abbott Labs, Philip Morris, Eli Lilly, Baxter, Exxon, Advanced Micro Devices, Sun Microsystems, Dr. Pepper, Northrup </w:t>
      </w:r>
      <w:proofErr w:type="spellStart"/>
      <w:r>
        <w:t>Grumann</w:t>
      </w:r>
      <w:proofErr w:type="spellEnd"/>
      <w:r>
        <w:t xml:space="preserve">, Pepsi, IBM, Microsoft, Qualcomm, Texas Instruments, Infineon, </w:t>
      </w:r>
      <w:proofErr w:type="spellStart"/>
      <w:r>
        <w:t>Covidienn</w:t>
      </w:r>
      <w:proofErr w:type="spellEnd"/>
      <w:r>
        <w:t xml:space="preserve">, Johnson &amp; Johnson, and Caterpillar, among others. Many also </w:t>
      </w:r>
      <w:r w:rsidR="00BA2C42">
        <w:t xml:space="preserve">have </w:t>
      </w:r>
      <w:r>
        <w:t xml:space="preserve">some experience working as an engineer or laboratory scientist (44%); counting undergraduate or summer opportunities, this number increases to about 60%. Further, many PTAB judges previously worked as examiners (29%), and/or worked in another capacity at the PTO, such as in the Solicitors Office (17%) as a lawyer or as an advisor in some capacity (17%). About 5% worked in another capacity for the federal government, with most of these judges having experience at the Department of Justice. However, some judges also had experience working at the International Trade Commission, the Department of Energy, or even working as a professional clerk or in a non-clerk capacity at the Federal Circuit.  Certain judges were designated as “lead” judges (19%); these are often the judges who have the most experience and/or political connections. </w:t>
      </w:r>
      <w:r w:rsidR="00615F24">
        <w:t xml:space="preserve">Disproportionate to their overall numbers, women and minorities represent a larger share of “lead” judges than their overall distribution might suggest. </w:t>
      </w:r>
      <w:r>
        <w:t xml:space="preserve">In addition, about 11% of PTAB judges had some political job, such as serving as an advisor to the Solicitor or one of the Undersecretaries of Commerce or in serving in an advisory capacity on AIA Reform while working at the PTAB in some form. In addition, one judge was unsuccessfully nominated by President Donald Trump to the Court of Claims; another present judge </w:t>
      </w:r>
      <w:r w:rsidR="00F86D96">
        <w:t xml:space="preserve">currently </w:t>
      </w:r>
      <w:r>
        <w:t xml:space="preserve">serves on detail to the Republican House Judiciary Committee on Intellectual Property. </w:t>
      </w:r>
    </w:p>
    <w:p w14:paraId="1C32A770" w14:textId="77777777" w:rsidR="004B206D" w:rsidRDefault="004A150C" w:rsidP="004A150C">
      <w:pPr>
        <w:pStyle w:val="NormalWeb"/>
      </w:pPr>
      <w:r>
        <w:tab/>
        <w:t xml:space="preserve">While PTAB judges share common career paths (such as most serving as an associate in a law firm at some point), they can also be grouped in a more fine-grained way. </w:t>
      </w:r>
      <w:r w:rsidR="00BA2C42">
        <w:t>Figure 4</w:t>
      </w:r>
      <w:r>
        <w:t xml:space="preserve"> displays the six main career “arcs” of IPR judges. About half spent most </w:t>
      </w:r>
      <w:proofErr w:type="spellStart"/>
      <w:r>
        <w:t>or</w:t>
      </w:r>
      <w:proofErr w:type="spellEnd"/>
      <w:r>
        <w:t xml:space="preserve"> the entirety of their career in a law firm before becoming an PTAB judge. About a quarter of this group only worked at a law firm for between 4-6 years, never reaching counsel or partner status because they transitioned to be a PTAB judge after serving one or more associate roles in law firms.</w:t>
      </w:r>
      <w:r w:rsidR="004B206D">
        <w:t xml:space="preserve"> Most of the judges in this group are fairly young, in their late 30s/early 40s, and becoming a PTAB judge </w:t>
      </w:r>
      <w:r w:rsidR="004B206D">
        <w:lastRenderedPageBreak/>
        <w:t>prior to making partner is an increasing trend.</w:t>
      </w:r>
      <w:r>
        <w:t xml:space="preserve"> </w:t>
      </w:r>
      <w:r w:rsidR="004B206D">
        <w:t>In contrast to the smaller group of pre-</w:t>
      </w:r>
      <w:proofErr w:type="gramStart"/>
      <w:r w:rsidR="004B206D">
        <w:t>partner</w:t>
      </w:r>
      <w:proofErr w:type="gramEnd"/>
      <w:r w:rsidR="004B206D">
        <w:t xml:space="preserve"> PTAB judges</w:t>
      </w:r>
      <w:r>
        <w:t>, about half of the law firm group can be characterized as advanced practitioner</w:t>
      </w:r>
      <w:r w:rsidR="00A04B5C">
        <w:t>s</w:t>
      </w:r>
      <w:r>
        <w:t xml:space="preserve"> that have approximately 20 years of experience, and have reached the status of being a partner or of counsel in a law firm. </w:t>
      </w:r>
      <w:r w:rsidR="004B206D">
        <w:t>Most of these judges are mid-career, and are distinguished from the pre-partner group in that this larger group had already made partner or counsel in a law firm, though they have not been a partner or counsel for a long period of time; most of this group have been partners for about ten years. Still a</w:t>
      </w:r>
      <w:r>
        <w:t>nother 16%</w:t>
      </w:r>
      <w:r w:rsidR="004B206D">
        <w:t xml:space="preserve"> of judges</w:t>
      </w:r>
      <w:r>
        <w:t xml:space="preserve"> </w:t>
      </w:r>
      <w:r w:rsidR="004B206D">
        <w:t xml:space="preserve">become a PTAB judge </w:t>
      </w:r>
      <w:r>
        <w:t>at the “culmination” of their career. These judges generally have between 25-45 years of experience</w:t>
      </w:r>
      <w:r w:rsidR="004B206D">
        <w:t xml:space="preserve"> (thus more experience than the partner/counsel group described earlier)</w:t>
      </w:r>
      <w:r>
        <w:t>, are often in their 60s, and take the PTAB judge to “culminate” their long career in patent law</w:t>
      </w:r>
      <w:r w:rsidR="004B206D">
        <w:t>, with the PTAB judgeship most likely being the last substantive job for that person in patent law</w:t>
      </w:r>
      <w:r>
        <w:t xml:space="preserve">. </w:t>
      </w:r>
    </w:p>
    <w:p w14:paraId="2FED89EA" w14:textId="5B823AAF" w:rsidR="00201390" w:rsidRDefault="004B206D" w:rsidP="004B206D">
      <w:pPr>
        <w:pStyle w:val="NormalWeb"/>
        <w:ind w:firstLine="720"/>
      </w:pPr>
      <w:r>
        <w:t xml:space="preserve">There are also three other groups that explain the career trajectories of some judges. </w:t>
      </w:r>
      <w:r w:rsidR="004A150C">
        <w:t>About 9% of PTAB judges come to be a judge after primarily serving in</w:t>
      </w:r>
      <w:r>
        <w:t xml:space="preserve"> various</w:t>
      </w:r>
      <w:r w:rsidR="004A150C">
        <w:t xml:space="preserve"> </w:t>
      </w:r>
      <w:proofErr w:type="gramStart"/>
      <w:r w:rsidR="004A150C">
        <w:t>in house</w:t>
      </w:r>
      <w:proofErr w:type="gramEnd"/>
      <w:r w:rsidR="004A150C">
        <w:t xml:space="preserve"> </w:t>
      </w:r>
      <w:r>
        <w:t xml:space="preserve">counsel </w:t>
      </w:r>
      <w:r w:rsidR="004A150C">
        <w:t xml:space="preserve">roles, or as an actual scientist in a company (instead of a lawyer). About a quarter of PTAB judges enjoyed primarily a career in government service, with 5% coming from DOJ or another government entity, </w:t>
      </w:r>
      <w:r>
        <w:t>such as the ITC or another executive agency. T</w:t>
      </w:r>
      <w:r w:rsidR="004A150C">
        <w:t>he remaining fifth</w:t>
      </w:r>
      <w:r>
        <w:t xml:space="preserve"> of PTAB judges</w:t>
      </w:r>
      <w:r w:rsidR="004A150C">
        <w:t xml:space="preserve"> essentially </w:t>
      </w:r>
      <w:r>
        <w:t xml:space="preserve">are </w:t>
      </w:r>
      <w:r w:rsidR="004A150C">
        <w:t xml:space="preserve">“PTO lifers” having spent their whole career at the PTO either as a PTAB Lawyer, in the Solicitor’s Office or as an examiner. </w:t>
      </w:r>
      <w:r w:rsidR="00A24798">
        <w:t xml:space="preserve">Indeed, many of the longest serving judges at the PTAB are “PTO lifers.” </w:t>
      </w:r>
      <w:r w:rsidR="004A150C">
        <w:t xml:space="preserve">Many of </w:t>
      </w:r>
      <w:r w:rsidR="00A24798">
        <w:t xml:space="preserve">these judges previously served on the Board of Patent Appeals and Interferences (the predecessor to the PTAB), or </w:t>
      </w:r>
      <w:r w:rsidR="004A150C">
        <w:t>were examiners or worked at the Solicitors’ Office. Newer PTAB judged hired since the AIA are almost always judges who worked at law firms or in house. It is increasingly the tendency in more recent years to hire PTAB judges who are early in their career in law firms (judges who served 4-6 years as an associate in one or more law firms before becoming a PTAB judge).</w:t>
      </w:r>
    </w:p>
    <w:p w14:paraId="4B7BD198" w14:textId="6626C69B" w:rsidR="00201390" w:rsidRPr="00A235FA" w:rsidRDefault="00A04B5C" w:rsidP="00A235FA">
      <w:pPr>
        <w:pStyle w:val="NormalWeb"/>
        <w:jc w:val="center"/>
        <w:rPr>
          <w:i/>
          <w:iCs/>
        </w:rPr>
      </w:pPr>
      <w:r w:rsidRPr="00A235FA">
        <w:rPr>
          <w:i/>
          <w:iCs/>
        </w:rPr>
        <w:t>Figure 4</w:t>
      </w:r>
      <w:r w:rsidR="00201390" w:rsidRPr="00A235FA">
        <w:rPr>
          <w:i/>
          <w:iCs/>
        </w:rPr>
        <w:t>: Career “Arcs” of IPR Judges</w:t>
      </w:r>
    </w:p>
    <w:p w14:paraId="35A78B3C" w14:textId="77777777" w:rsidR="004A150C" w:rsidRDefault="004A150C" w:rsidP="004A150C">
      <w:pPr>
        <w:pStyle w:val="NormalWeb"/>
        <w:ind w:firstLine="720"/>
      </w:pPr>
      <w:r w:rsidRPr="00D23F20">
        <w:rPr>
          <w:noProof/>
        </w:rPr>
        <w:lastRenderedPageBreak/>
        <w:drawing>
          <wp:inline distT="0" distB="0" distL="0" distR="0" wp14:anchorId="67946D41" wp14:editId="44304A61">
            <wp:extent cx="4663440" cy="34975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63440" cy="3497580"/>
                    </a:xfrm>
                    <a:prstGeom prst="rect">
                      <a:avLst/>
                    </a:prstGeom>
                  </pic:spPr>
                </pic:pic>
              </a:graphicData>
            </a:graphic>
          </wp:inline>
        </w:drawing>
      </w:r>
    </w:p>
    <w:p w14:paraId="0B7169C5" w14:textId="2DDA4891" w:rsidR="00ED425B" w:rsidRDefault="00DD27B3" w:rsidP="00201390">
      <w:pPr>
        <w:pStyle w:val="NormalWeb"/>
        <w:ind w:firstLine="720"/>
      </w:pPr>
      <w:r>
        <w:t xml:space="preserve">Increasingly it is notable that PTAB judges </w:t>
      </w:r>
      <w:r w:rsidR="00877E66">
        <w:t>that have begun leaving the judgment</w:t>
      </w:r>
      <w:r>
        <w:t xml:space="preserve"> after serving between 4-6 years as a judge. In all, about </w:t>
      </w:r>
      <w:r w:rsidR="00C6471E">
        <w:t>9</w:t>
      </w:r>
      <w:r>
        <w:t xml:space="preserve">% of the PTAB judges (22 judges in total), served only short stints at the PTAB. Two PTAB judges left to </w:t>
      </w:r>
      <w:r w:rsidR="00F86D96">
        <w:t xml:space="preserve">work </w:t>
      </w:r>
      <w:r>
        <w:t xml:space="preserve">in house at Apple, despite having served on panels where Apple was a party. </w:t>
      </w:r>
      <w:r w:rsidR="002875D2">
        <w:t xml:space="preserve">Another is chief IP Counsel at Ecolab. </w:t>
      </w:r>
      <w:r w:rsidR="00C6471E">
        <w:t xml:space="preserve">While two or three retired or went onto to “mediation” practices in their retirement, the remaining 20 or so former PTAB judges went on to become partner or counsel or in some cases even division head of the “IPR Group” at notable law firms. Former PTAB judges are now partners or </w:t>
      </w:r>
      <w:r w:rsidR="00A41D53">
        <w:t xml:space="preserve">IPR </w:t>
      </w:r>
      <w:r w:rsidR="00C6471E">
        <w:t>division heads at such frequent PTAB law fi</w:t>
      </w:r>
      <w:r w:rsidR="00A41D53">
        <w:t>rm filers</w:t>
      </w:r>
      <w:r w:rsidR="00C6471E">
        <w:t xml:space="preserve"> as Wilson </w:t>
      </w:r>
      <w:proofErr w:type="spellStart"/>
      <w:r w:rsidR="00C6471E">
        <w:t>Sonini</w:t>
      </w:r>
      <w:proofErr w:type="spellEnd"/>
      <w:r w:rsidR="00C6471E">
        <w:t xml:space="preserve">, Covington &amp; Burling, Morrison &amp; Forrester, O’Melveny &amp; Myers, Ropes &amp; Gray, Duane Morris and Dorsey &amp; Whitney. Most of the judges who have gone on to career in private practice primarily entered the PTAB as a younger or middle age lawyer. </w:t>
      </w:r>
    </w:p>
    <w:p w14:paraId="4D6586E8" w14:textId="5A54ACA9" w:rsidR="00ED425B" w:rsidRDefault="00651E64" w:rsidP="00651E64">
      <w:pPr>
        <w:pStyle w:val="ListParagraph"/>
        <w:numPr>
          <w:ilvl w:val="0"/>
          <w:numId w:val="47"/>
        </w:numPr>
      </w:pPr>
      <w:r>
        <w:t>How Does the PTAB Make Decisions</w:t>
      </w:r>
    </w:p>
    <w:p w14:paraId="7D70B2BF" w14:textId="6786440B" w:rsidR="00651E64" w:rsidRDefault="00651E64" w:rsidP="00651E64">
      <w:pPr>
        <w:pStyle w:val="ListParagraph"/>
        <w:ind w:left="1440" w:firstLine="0"/>
      </w:pPr>
    </w:p>
    <w:p w14:paraId="24ED412D" w14:textId="6A760E89" w:rsidR="00651E64" w:rsidRDefault="00651E64" w:rsidP="00651E64">
      <w:pPr>
        <w:pStyle w:val="ListParagraph"/>
        <w:numPr>
          <w:ilvl w:val="0"/>
          <w:numId w:val="50"/>
        </w:numPr>
      </w:pPr>
      <w:r>
        <w:t xml:space="preserve">Descriptive Analysis </w:t>
      </w:r>
    </w:p>
    <w:p w14:paraId="4E1898E0" w14:textId="77777777" w:rsidR="00651E64" w:rsidRDefault="00651E64" w:rsidP="00651E64">
      <w:pPr>
        <w:pStyle w:val="ListParagraph"/>
        <w:ind w:left="1800" w:firstLine="0"/>
      </w:pPr>
    </w:p>
    <w:p w14:paraId="0DAF8E42" w14:textId="39DE1F60" w:rsidR="00A235FA" w:rsidRDefault="00ED425B" w:rsidP="00CF3732">
      <w:r>
        <w:t xml:space="preserve">Over the course of the last eight years hearing patent validity challenges through December 2020, the PTAB has heard or has pending 12,512 petitions </w:t>
      </w:r>
      <w:r>
        <w:lastRenderedPageBreak/>
        <w:t xml:space="preserve">attacking patent validity, including both PGR and CBM cases. Because of the coronavirus pandemic, the PTAB has issued less decisions in recent months, and about 7% of its cases are still pending, with most recently filed cases not yet being assigned to a panel to review for an institution decision. Over the last eight years of all PTAB proceedings, slightly under 25% of cases are disposed of prior to even reaching the institution stage; 10% are procedurally dismissed while another 13% of parties settle before an institution decision is even reached. In another 4% of cases, the patentee disclaims the claims at issue, effectively awarding a “win” to the petitioner, with most disclaimers coming after the PTAB decides to institute (.53% before institution versus 3.19% after institution, with about 5% of instituted claims being disclaimed by the patentee). Of the approximately </w:t>
      </w:r>
      <w:r w:rsidRPr="005B11CA">
        <w:t>8</w:t>
      </w:r>
      <w:r>
        <w:t>,</w:t>
      </w:r>
      <w:r w:rsidRPr="005B11CA">
        <w:t>500 cases that reach</w:t>
      </w:r>
      <w:r>
        <w:t xml:space="preserve"> the institution stage that are not settled before the court reaches this phase, the PTAB proceeds to a substantive decision (denial of institution or ruling on patentability) in about half of all cases. Figure </w:t>
      </w:r>
      <w:r w:rsidR="007427D0">
        <w:t>5</w:t>
      </w:r>
      <w:r>
        <w:t xml:space="preserve"> displays the outcomes of all PTAB decisions from September 2012 through December 2020 while Figure </w:t>
      </w:r>
      <w:r w:rsidR="007427D0">
        <w:t>6</w:t>
      </w:r>
      <w:r>
        <w:t xml:space="preserve"> displays the outcomes of the cases that survive to an institution decision. These figures include all IPR proceedings, including PGM and covered business method patents, which together constitute just 6% of all proceedings, with the remaining 94% of cases being IPR proceedings.</w:t>
      </w:r>
    </w:p>
    <w:p w14:paraId="3FEECD81" w14:textId="77777777" w:rsidR="00ED425B" w:rsidRDefault="00ED425B" w:rsidP="00546A0B">
      <w:pPr>
        <w:ind w:firstLine="0"/>
      </w:pPr>
    </w:p>
    <w:p w14:paraId="474E939F" w14:textId="0BD7DD2B" w:rsidR="00ED425B" w:rsidRPr="00D91C96" w:rsidRDefault="00ED425B" w:rsidP="00ED425B">
      <w:pPr>
        <w:ind w:firstLine="0"/>
        <w:jc w:val="center"/>
        <w:rPr>
          <w:i/>
          <w:iCs/>
        </w:rPr>
      </w:pPr>
      <w:r w:rsidRPr="00D91C96">
        <w:rPr>
          <w:i/>
          <w:iCs/>
        </w:rPr>
        <w:t xml:space="preserve">Figure </w:t>
      </w:r>
      <w:r w:rsidR="007427D0">
        <w:rPr>
          <w:i/>
          <w:iCs/>
        </w:rPr>
        <w:t>5</w:t>
      </w:r>
      <w:r w:rsidRPr="00D91C96">
        <w:rPr>
          <w:i/>
          <w:iCs/>
        </w:rPr>
        <w:t>: Overview of all PTAB Outcomes</w:t>
      </w:r>
    </w:p>
    <w:p w14:paraId="2C8218B9" w14:textId="77777777" w:rsidR="00ED425B" w:rsidRDefault="00ED425B" w:rsidP="00ED425B"/>
    <w:p w14:paraId="3359512E" w14:textId="1966706E" w:rsidR="005C11A0" w:rsidRPr="00CF3732" w:rsidRDefault="00ED425B" w:rsidP="00CF3732">
      <w:r w:rsidRPr="00D91C96">
        <w:rPr>
          <w:noProof/>
        </w:rPr>
        <w:drawing>
          <wp:inline distT="0" distB="0" distL="0" distR="0" wp14:anchorId="4EDAE3E2" wp14:editId="3E652187">
            <wp:extent cx="4663440" cy="3391535"/>
            <wp:effectExtent l="0" t="0" r="0" b="0"/>
            <wp:docPr id="4" name="Content Placeholder 3">
              <a:extLst xmlns:a="http://schemas.openxmlformats.org/drawingml/2006/main">
                <a:ext uri="{FF2B5EF4-FFF2-40B4-BE49-F238E27FC236}">
                  <a16:creationId xmlns:a16="http://schemas.microsoft.com/office/drawing/2014/main" id="{8A10E28B-D9E0-2541-A735-3953AA91B35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A10E28B-D9E0-2541-A735-3953AA91B354}"/>
                        </a:ext>
                      </a:extLst>
                    </pic:cNvPr>
                    <pic:cNvPicPr>
                      <a:picLocks noGrp="1" noChangeAspect="1"/>
                    </pic:cNvPicPr>
                  </pic:nvPicPr>
                  <pic:blipFill>
                    <a:blip r:embed="rId12"/>
                    <a:stretch>
                      <a:fillRect/>
                    </a:stretch>
                  </pic:blipFill>
                  <pic:spPr>
                    <a:xfrm>
                      <a:off x="0" y="0"/>
                      <a:ext cx="4663440" cy="3391535"/>
                    </a:xfrm>
                    <a:prstGeom prst="rect">
                      <a:avLst/>
                    </a:prstGeom>
                  </pic:spPr>
                </pic:pic>
              </a:graphicData>
            </a:graphic>
          </wp:inline>
        </w:drawing>
      </w:r>
    </w:p>
    <w:p w14:paraId="7CA01939" w14:textId="139FAF5B" w:rsidR="00ED425B" w:rsidRDefault="00ED425B" w:rsidP="00ED425B">
      <w:pPr>
        <w:ind w:firstLine="0"/>
        <w:jc w:val="center"/>
        <w:rPr>
          <w:i/>
          <w:iCs/>
        </w:rPr>
      </w:pPr>
      <w:r w:rsidRPr="006E6ADE">
        <w:rPr>
          <w:i/>
          <w:iCs/>
        </w:rPr>
        <w:lastRenderedPageBreak/>
        <w:t xml:space="preserve">Figure </w:t>
      </w:r>
      <w:r w:rsidR="007427D0">
        <w:rPr>
          <w:i/>
          <w:iCs/>
        </w:rPr>
        <w:t>6</w:t>
      </w:r>
      <w:r w:rsidRPr="006E6ADE">
        <w:rPr>
          <w:i/>
          <w:iCs/>
        </w:rPr>
        <w:t>: PTAB Decisions Once Reach Institution Stage</w:t>
      </w:r>
    </w:p>
    <w:p w14:paraId="24F49306" w14:textId="77777777" w:rsidR="00ED425B" w:rsidRDefault="00ED425B" w:rsidP="00ED425B">
      <w:pPr>
        <w:ind w:firstLine="0"/>
        <w:rPr>
          <w:i/>
          <w:iCs/>
        </w:rPr>
      </w:pPr>
    </w:p>
    <w:p w14:paraId="55B915A2" w14:textId="77777777" w:rsidR="00ED425B" w:rsidRPr="004D668C" w:rsidRDefault="00ED425B" w:rsidP="00ED425B">
      <w:pPr>
        <w:ind w:firstLine="0"/>
        <w:rPr>
          <w:i/>
          <w:iCs/>
        </w:rPr>
      </w:pPr>
      <w:r w:rsidRPr="006E6ADE">
        <w:rPr>
          <w:i/>
          <w:iCs/>
          <w:noProof/>
        </w:rPr>
        <w:drawing>
          <wp:inline distT="0" distB="0" distL="0" distR="0" wp14:anchorId="48C41C5F" wp14:editId="26814AAB">
            <wp:extent cx="4663440" cy="3391535"/>
            <wp:effectExtent l="0" t="0" r="0" b="0"/>
            <wp:docPr id="2" name="Content Placeholder 3">
              <a:extLst xmlns:a="http://schemas.openxmlformats.org/drawingml/2006/main">
                <a:ext uri="{FF2B5EF4-FFF2-40B4-BE49-F238E27FC236}">
                  <a16:creationId xmlns:a16="http://schemas.microsoft.com/office/drawing/2014/main" id="{4EE96004-A92A-9E44-8BB5-52B798643D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4EE96004-A92A-9E44-8BB5-52B798643DE0}"/>
                        </a:ext>
                      </a:extLst>
                    </pic:cNvPr>
                    <pic:cNvPicPr>
                      <a:picLocks noGrp="1" noChangeAspect="1"/>
                    </pic:cNvPicPr>
                  </pic:nvPicPr>
                  <pic:blipFill>
                    <a:blip r:embed="rId13"/>
                    <a:stretch>
                      <a:fillRect/>
                    </a:stretch>
                  </pic:blipFill>
                  <pic:spPr>
                    <a:xfrm>
                      <a:off x="0" y="0"/>
                      <a:ext cx="4663440" cy="3391535"/>
                    </a:xfrm>
                    <a:prstGeom prst="rect">
                      <a:avLst/>
                    </a:prstGeom>
                  </pic:spPr>
                </pic:pic>
              </a:graphicData>
            </a:graphic>
          </wp:inline>
        </w:drawing>
      </w:r>
    </w:p>
    <w:p w14:paraId="387FDA7E" w14:textId="77777777" w:rsidR="00ED425B" w:rsidRDefault="00ED425B" w:rsidP="00ED425B"/>
    <w:p w14:paraId="1BEDEA2B" w14:textId="57280800" w:rsidR="00ED425B" w:rsidRDefault="00ED425B" w:rsidP="00ED425B">
      <w:r>
        <w:t xml:space="preserve">Once the case proceeds to a substantive decision after deciding to institute, the PTAB overwhelmingly rules in favor of the petitioner in an IPR proceeding. The following analysis includes only IPR cases. Figure </w:t>
      </w:r>
      <w:r w:rsidR="007427D0">
        <w:t>7</w:t>
      </w:r>
      <w:r>
        <w:t xml:space="preserve"> displays the outcomes when the PTAB reaches one of four decisions: either a denial of institution or a ruling on the merits of patent validity. In all, where the PTAB reaches a decision on the patent’s validity in whole or in part, it denies institution in 39% of cases, ruling on the merits in the remaining cases. Of all the cases in which the PTAB rules, it finds all claims instituted unpatentable in 39% of cases, reaches mixed findings in 10% of cases, and finds for the patentee in just 12% of cases (where the PTAB either upholds all claims (11%) or allows the claims to be amended (0.42%)). Figure </w:t>
      </w:r>
      <w:r w:rsidR="007427D0">
        <w:t>8</w:t>
      </w:r>
      <w:r>
        <w:t xml:space="preserve"> displays the results </w:t>
      </w:r>
      <w:r w:rsidRPr="00D618B7">
        <w:rPr>
          <w:i/>
          <w:iCs/>
        </w:rPr>
        <w:t>just</w:t>
      </w:r>
      <w:r>
        <w:t xml:space="preserve"> at the final merits stage after a decision to institute has already been reached. In 64% of cases where a three-judge panel reviews the case, the PTAB finds all claims unpatentable, while in an additional 16%, the PTAB resolves for the petitioner in part, invalidating some claims of the patent but not others. In only 19% of cases does the PTAB find fully in favor of the patentee.</w:t>
      </w:r>
      <w:r>
        <w:rPr>
          <w:rStyle w:val="FootnoteReference"/>
        </w:rPr>
        <w:footnoteReference w:id="113"/>
      </w:r>
      <w:r>
        <w:t xml:space="preserve"> Looking only at the decisions where the PTAB reaches a substantive results—either finding the patent invalid in whole or in part or </w:t>
      </w:r>
      <w:r>
        <w:lastRenderedPageBreak/>
        <w:t>upholding all claims or the patentee choosing to disclaim at the institution or petition stage—the tendency of the PTAB to favor the petitioner and rule against the patentee is all the more stark. Overall, once a case reaches a final decision (a ruling on patentability on the merits after denial of institution), the PTAB rules in favor of the petitioner 81% of the time in whole or in part, with about two-thirds of cases being ones where the PTAB finds the challenged claims wholly unpatentable, reaching a mixed verdict in 16% of cases. This tendency has drifted slightly less over time. In 2014, for example, the PTAB decided 86% of cases in favor of the petitioner, whereas by 2019, the figure had reached 75%. However, trends over time are uneven; while in 2019, the Board ruled in favor of the petitioner three-fourths of the time, the number increased to 81% during the first three quarters of 2020.</w:t>
      </w:r>
    </w:p>
    <w:p w14:paraId="113D37A9" w14:textId="77777777" w:rsidR="00ED425B" w:rsidRDefault="00ED425B" w:rsidP="00ED425B">
      <w:pPr>
        <w:ind w:firstLine="0"/>
      </w:pPr>
    </w:p>
    <w:p w14:paraId="748CFF2C" w14:textId="4F9CF626" w:rsidR="00ED425B" w:rsidRDefault="00ED425B" w:rsidP="00ED425B">
      <w:pPr>
        <w:ind w:firstLine="0"/>
        <w:jc w:val="center"/>
        <w:rPr>
          <w:i/>
          <w:iCs/>
        </w:rPr>
      </w:pPr>
      <w:r w:rsidRPr="00E962A5">
        <w:rPr>
          <w:i/>
          <w:iCs/>
        </w:rPr>
        <w:t xml:space="preserve">Figure </w:t>
      </w:r>
      <w:r w:rsidR="007427D0">
        <w:rPr>
          <w:i/>
          <w:iCs/>
        </w:rPr>
        <w:t>7</w:t>
      </w:r>
      <w:r w:rsidRPr="00E962A5">
        <w:rPr>
          <w:i/>
          <w:iCs/>
        </w:rPr>
        <w:t>: PTAB Outcomes for Substantive Decisions</w:t>
      </w:r>
    </w:p>
    <w:p w14:paraId="60261E56" w14:textId="77777777" w:rsidR="00ED425B" w:rsidRDefault="00ED425B" w:rsidP="00ED425B">
      <w:pPr>
        <w:ind w:firstLine="0"/>
        <w:rPr>
          <w:i/>
          <w:iCs/>
        </w:rPr>
      </w:pPr>
    </w:p>
    <w:p w14:paraId="3166C40D" w14:textId="77777777" w:rsidR="00ED425B" w:rsidRDefault="00ED425B" w:rsidP="00ED425B">
      <w:pPr>
        <w:ind w:firstLine="0"/>
        <w:rPr>
          <w:i/>
          <w:iCs/>
        </w:rPr>
      </w:pPr>
      <w:r w:rsidRPr="00E962A5">
        <w:rPr>
          <w:i/>
          <w:iCs/>
          <w:noProof/>
        </w:rPr>
        <w:drawing>
          <wp:inline distT="0" distB="0" distL="0" distR="0" wp14:anchorId="491A5A03" wp14:editId="12FC0168">
            <wp:extent cx="4663440" cy="3391535"/>
            <wp:effectExtent l="0" t="0" r="0" b="0"/>
            <wp:docPr id="3" name="Content Placeholder 3">
              <a:extLst xmlns:a="http://schemas.openxmlformats.org/drawingml/2006/main">
                <a:ext uri="{FF2B5EF4-FFF2-40B4-BE49-F238E27FC236}">
                  <a16:creationId xmlns:a16="http://schemas.microsoft.com/office/drawing/2014/main" id="{975FEFE5-9CCF-E14C-A084-D1D70F1DD0F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75FEFE5-9CCF-E14C-A084-D1D70F1DD0FB}"/>
                        </a:ext>
                      </a:extLst>
                    </pic:cNvPr>
                    <pic:cNvPicPr>
                      <a:picLocks noGrp="1" noChangeAspect="1"/>
                    </pic:cNvPicPr>
                  </pic:nvPicPr>
                  <pic:blipFill>
                    <a:blip r:embed="rId14"/>
                    <a:stretch>
                      <a:fillRect/>
                    </a:stretch>
                  </pic:blipFill>
                  <pic:spPr>
                    <a:xfrm>
                      <a:off x="0" y="0"/>
                      <a:ext cx="4663440" cy="3391535"/>
                    </a:xfrm>
                    <a:prstGeom prst="rect">
                      <a:avLst/>
                    </a:prstGeom>
                  </pic:spPr>
                </pic:pic>
              </a:graphicData>
            </a:graphic>
          </wp:inline>
        </w:drawing>
      </w:r>
    </w:p>
    <w:p w14:paraId="4E7BF566" w14:textId="77777777" w:rsidR="00ED425B" w:rsidRDefault="00ED425B" w:rsidP="00ED425B">
      <w:pPr>
        <w:ind w:firstLine="0"/>
        <w:rPr>
          <w:i/>
          <w:iCs/>
        </w:rPr>
      </w:pPr>
    </w:p>
    <w:p w14:paraId="04821942" w14:textId="77777777" w:rsidR="00ED425B" w:rsidRDefault="00ED425B" w:rsidP="00ED425B">
      <w:pPr>
        <w:ind w:firstLine="0"/>
        <w:rPr>
          <w:i/>
          <w:iCs/>
        </w:rPr>
      </w:pPr>
    </w:p>
    <w:p w14:paraId="0E0FAC3B" w14:textId="77777777" w:rsidR="00ED425B" w:rsidRDefault="00ED425B" w:rsidP="00ED425B">
      <w:pPr>
        <w:ind w:firstLine="0"/>
        <w:rPr>
          <w:i/>
          <w:iCs/>
        </w:rPr>
      </w:pPr>
    </w:p>
    <w:p w14:paraId="0A4F1034" w14:textId="77777777" w:rsidR="00ED425B" w:rsidRDefault="00ED425B" w:rsidP="00ED425B">
      <w:pPr>
        <w:ind w:firstLine="0"/>
        <w:rPr>
          <w:i/>
          <w:iCs/>
        </w:rPr>
      </w:pPr>
    </w:p>
    <w:p w14:paraId="162D5A48" w14:textId="77777777" w:rsidR="00ED425B" w:rsidRDefault="00ED425B" w:rsidP="00ED425B">
      <w:pPr>
        <w:ind w:firstLine="0"/>
        <w:rPr>
          <w:i/>
          <w:iCs/>
        </w:rPr>
      </w:pPr>
    </w:p>
    <w:p w14:paraId="64ED4941" w14:textId="77777777" w:rsidR="00ED425B" w:rsidRDefault="00ED425B" w:rsidP="00ED425B">
      <w:pPr>
        <w:ind w:firstLine="0"/>
        <w:rPr>
          <w:i/>
          <w:iCs/>
        </w:rPr>
      </w:pPr>
    </w:p>
    <w:p w14:paraId="7E203F4A" w14:textId="77777777" w:rsidR="00ED425B" w:rsidRDefault="00ED425B" w:rsidP="00ED425B">
      <w:pPr>
        <w:ind w:firstLine="0"/>
        <w:rPr>
          <w:i/>
          <w:iCs/>
        </w:rPr>
      </w:pPr>
    </w:p>
    <w:p w14:paraId="362903AD" w14:textId="77777777" w:rsidR="00ED425B" w:rsidRDefault="00ED425B" w:rsidP="00ED425B">
      <w:pPr>
        <w:ind w:firstLine="0"/>
        <w:rPr>
          <w:i/>
          <w:iCs/>
        </w:rPr>
      </w:pPr>
    </w:p>
    <w:p w14:paraId="5E7EDF2F" w14:textId="06F891E0" w:rsidR="00ED425B" w:rsidRPr="00D272EF" w:rsidRDefault="00ED425B" w:rsidP="00ED425B">
      <w:pPr>
        <w:ind w:firstLine="0"/>
        <w:jc w:val="center"/>
        <w:rPr>
          <w:i/>
          <w:iCs/>
        </w:rPr>
      </w:pPr>
      <w:r w:rsidRPr="00D272EF">
        <w:rPr>
          <w:i/>
          <w:iCs/>
        </w:rPr>
        <w:lastRenderedPageBreak/>
        <w:t xml:space="preserve">Figure </w:t>
      </w:r>
      <w:r w:rsidR="007427D0">
        <w:rPr>
          <w:i/>
          <w:iCs/>
        </w:rPr>
        <w:t>8</w:t>
      </w:r>
      <w:r w:rsidRPr="00D272EF">
        <w:rPr>
          <w:i/>
          <w:iCs/>
        </w:rPr>
        <w:t>: PTAB Outcomes at Merits Stage</w:t>
      </w:r>
    </w:p>
    <w:p w14:paraId="4444F806" w14:textId="77777777" w:rsidR="00ED425B" w:rsidRDefault="00ED425B" w:rsidP="00ED425B">
      <w:pPr>
        <w:ind w:firstLine="0"/>
        <w:jc w:val="center"/>
      </w:pPr>
    </w:p>
    <w:p w14:paraId="24EBD1E0" w14:textId="77777777" w:rsidR="00ED425B" w:rsidRDefault="00ED425B" w:rsidP="00ED425B">
      <w:pPr>
        <w:ind w:firstLine="0"/>
      </w:pPr>
      <w:r w:rsidRPr="00D272EF">
        <w:rPr>
          <w:noProof/>
        </w:rPr>
        <w:drawing>
          <wp:inline distT="0" distB="0" distL="0" distR="0" wp14:anchorId="68CE9DDD" wp14:editId="598B1222">
            <wp:extent cx="4663440" cy="3391535"/>
            <wp:effectExtent l="0" t="0" r="0" b="0"/>
            <wp:docPr id="5" name="Content Placeholder 3">
              <a:extLst xmlns:a="http://schemas.openxmlformats.org/drawingml/2006/main">
                <a:ext uri="{FF2B5EF4-FFF2-40B4-BE49-F238E27FC236}">
                  <a16:creationId xmlns:a16="http://schemas.microsoft.com/office/drawing/2014/main" id="{110EE453-C74B-3E46-B4E7-AB36248834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110EE453-C74B-3E46-B4E7-AB36248834D5}"/>
                        </a:ext>
                      </a:extLst>
                    </pic:cNvPr>
                    <pic:cNvPicPr>
                      <a:picLocks noGrp="1" noChangeAspect="1"/>
                    </pic:cNvPicPr>
                  </pic:nvPicPr>
                  <pic:blipFill>
                    <a:blip r:embed="rId15"/>
                    <a:stretch>
                      <a:fillRect/>
                    </a:stretch>
                  </pic:blipFill>
                  <pic:spPr>
                    <a:xfrm>
                      <a:off x="0" y="0"/>
                      <a:ext cx="4663440" cy="3391535"/>
                    </a:xfrm>
                    <a:prstGeom prst="rect">
                      <a:avLst/>
                    </a:prstGeom>
                  </pic:spPr>
                </pic:pic>
              </a:graphicData>
            </a:graphic>
          </wp:inline>
        </w:drawing>
      </w:r>
    </w:p>
    <w:p w14:paraId="05DF5419" w14:textId="77777777" w:rsidR="00ED425B" w:rsidRDefault="00ED425B" w:rsidP="00ED425B"/>
    <w:p w14:paraId="63A9EEC3" w14:textId="77777777" w:rsidR="00ED425B" w:rsidRDefault="00ED425B" w:rsidP="00ED425B">
      <w:r>
        <w:t>The vast majority of petitioners bring challenges based on section 103 attacking the patent because one or more documentary prior art makes the invention obvious to one of ordinary skill in the art.</w:t>
      </w:r>
      <w:r>
        <w:rPr>
          <w:rStyle w:val="FootnoteReference"/>
        </w:rPr>
        <w:footnoteReference w:id="114"/>
      </w:r>
      <w:r>
        <w:t xml:space="preserve"> In 98% of cases, the petitioner makes a claim involving prior patents or publications under section 103 (obviousness) in whole or in part. Petitioners bring cases under section 102 prior art (because one reference anticipates the patent’s claims) in only 37% of cases, and this is done in conjunction with a section 103 challenge as well in about 38% of cases. When the PTAB decides to institute a case, not surprisingly, it usually does it on the basis of section 103 prior patent or publications. At the institution stage, a patentee has a slightly less chance of prevailing at the institution change if the challenge is brought under section 102 art than section 103 art; Of the approximately third of cases that involve section 102 petitions, 65% are in fact instituted, whereas for petitions under section 103 grounds, about 60% are instituted. Notably, these results are not statistically significant, so just on the cross tabs, we cannot make any claims. At the merits stage, there is also a difference in the winnability of claims. Once instituted, the PTAB grants a victory totally or partly in favor of the patentee slightly more on section 103 grounds. Of cases instituted on section </w:t>
      </w:r>
      <w:r>
        <w:lastRenderedPageBreak/>
        <w:t xml:space="preserve">102 grounds, about 17% are upheld while of the 3,500 cases instituted on sections 103 grounds, about 18% are upheld. Of cases in which the patentee prevails in part, they prevail 37% of the time in section 102 cases versus 36% in section 103 cases. </w:t>
      </w:r>
    </w:p>
    <w:p w14:paraId="0939AB13" w14:textId="77777777" w:rsidR="00ED425B" w:rsidRDefault="00ED425B" w:rsidP="00ED425B"/>
    <w:p w14:paraId="0464B187" w14:textId="26F8A240" w:rsidR="00ED425B" w:rsidRDefault="00ED425B" w:rsidP="00ED425B">
      <w:r>
        <w:t xml:space="preserve">Each petition is assigned to one of ten technological classes. Figure </w:t>
      </w:r>
      <w:r w:rsidR="007427D0">
        <w:t xml:space="preserve">9 </w:t>
      </w:r>
      <w:r>
        <w:t>displays the classes of all petitions. The greatest number (20%) come in communications, while 17% are brought for semiconductors; between 10% and 12% each arise in biotechnology, computer architecture, computer networks, mechanical engineering, and transportation. Another 6% are in chemical while less than 1% involve design patents. This distribution stays consistent through the institution and merits stages, with slight differences that are not statistically significant.</w:t>
      </w:r>
      <w:r>
        <w:rPr>
          <w:rStyle w:val="FootnoteReference"/>
        </w:rPr>
        <w:footnoteReference w:id="115"/>
      </w:r>
      <w:r>
        <w:t xml:space="preserve"> The technology classes of cases that settle (either pre-institution or during the institution phrase) do differ statistically based on the technology class, though for most technology classes, the percentages limited to settling parties is similar to the above distribution. The one glaring exception is that semiconductor cases compose a greater and statistically significant percentage of settling parties (20% v. 16% overall). In turn, cases involving transportation and construction patents are somewhat less likely to settle than their percentage in the case distribution might suggest. There are some interesting differences in changes over time as well. New petitions on biotechnology inventions are noticeably down in 2020, amounting to just 5% compared to 8% of all petitions in 2019. By contrast, PTAB petitions in the semiconductor sector are noticeably up in 2020 (17% compared to 14% in 2009).</w:t>
      </w:r>
    </w:p>
    <w:p w14:paraId="25FB2F4F" w14:textId="77777777" w:rsidR="00ED425B" w:rsidRDefault="00ED425B" w:rsidP="00ED425B"/>
    <w:p w14:paraId="3052A412" w14:textId="77777777" w:rsidR="00ED425B" w:rsidRDefault="00ED425B" w:rsidP="00ED425B"/>
    <w:p w14:paraId="6D6D0D1E" w14:textId="77777777" w:rsidR="00ED425B" w:rsidRDefault="00ED425B" w:rsidP="00ED425B"/>
    <w:p w14:paraId="0B9D3C27" w14:textId="77777777" w:rsidR="00ED425B" w:rsidRDefault="00ED425B" w:rsidP="00ED425B"/>
    <w:p w14:paraId="2A194836" w14:textId="77777777" w:rsidR="00ED425B" w:rsidRDefault="00ED425B" w:rsidP="00ED425B"/>
    <w:p w14:paraId="26F40142" w14:textId="77777777" w:rsidR="00ED425B" w:rsidRDefault="00ED425B" w:rsidP="00ED425B"/>
    <w:p w14:paraId="79E0F8F2" w14:textId="77777777" w:rsidR="00ED425B" w:rsidRDefault="00ED425B" w:rsidP="00ED425B"/>
    <w:p w14:paraId="46BB500E" w14:textId="77777777" w:rsidR="00ED425B" w:rsidRDefault="00ED425B" w:rsidP="00ED425B"/>
    <w:p w14:paraId="1AFAF18B" w14:textId="77777777" w:rsidR="00ED425B" w:rsidRDefault="00ED425B" w:rsidP="00ED425B"/>
    <w:p w14:paraId="28112DC6" w14:textId="6E357C79" w:rsidR="00ED425B" w:rsidRDefault="00ED425B" w:rsidP="00ED425B"/>
    <w:p w14:paraId="14F523AC" w14:textId="77777777" w:rsidR="00A235FA" w:rsidRDefault="00A235FA" w:rsidP="00ED425B"/>
    <w:p w14:paraId="3615DB53" w14:textId="77777777" w:rsidR="00ED425B" w:rsidRDefault="00ED425B" w:rsidP="00ED425B"/>
    <w:p w14:paraId="7F8BC32F" w14:textId="77777777" w:rsidR="00ED425B" w:rsidRDefault="00ED425B" w:rsidP="00ED425B">
      <w:pPr>
        <w:ind w:firstLine="0"/>
      </w:pPr>
    </w:p>
    <w:p w14:paraId="2FCBDF95" w14:textId="77777777" w:rsidR="00ED425B" w:rsidRDefault="00ED425B" w:rsidP="00ED425B">
      <w:pPr>
        <w:ind w:firstLine="0"/>
      </w:pPr>
    </w:p>
    <w:p w14:paraId="3B4D1432" w14:textId="77777777" w:rsidR="00ED425B" w:rsidRDefault="00ED425B" w:rsidP="00ED425B">
      <w:pPr>
        <w:ind w:firstLine="0"/>
      </w:pPr>
    </w:p>
    <w:p w14:paraId="170C9D6E" w14:textId="4BC91A4E" w:rsidR="00ED425B" w:rsidRPr="000F2BEC" w:rsidRDefault="00ED425B" w:rsidP="00ED425B">
      <w:pPr>
        <w:ind w:left="720" w:firstLine="720"/>
        <w:rPr>
          <w:i/>
          <w:iCs/>
        </w:rPr>
      </w:pPr>
      <w:r w:rsidRPr="000F2BEC">
        <w:rPr>
          <w:i/>
          <w:iCs/>
        </w:rPr>
        <w:lastRenderedPageBreak/>
        <w:t xml:space="preserve">Figure </w:t>
      </w:r>
      <w:r w:rsidR="007427D0">
        <w:rPr>
          <w:i/>
          <w:iCs/>
        </w:rPr>
        <w:t>9</w:t>
      </w:r>
      <w:r w:rsidRPr="000F2BEC">
        <w:rPr>
          <w:i/>
          <w:iCs/>
        </w:rPr>
        <w:t>: Technology Class of Petitions</w:t>
      </w:r>
    </w:p>
    <w:p w14:paraId="5A004194" w14:textId="77777777" w:rsidR="00ED425B" w:rsidRPr="000F2BEC" w:rsidRDefault="00ED425B" w:rsidP="00ED425B">
      <w:pPr>
        <w:ind w:firstLine="0"/>
        <w:jc w:val="center"/>
        <w:rPr>
          <w:i/>
          <w:iCs/>
        </w:rPr>
      </w:pPr>
    </w:p>
    <w:p w14:paraId="56E0A295" w14:textId="77777777" w:rsidR="00ED425B" w:rsidRDefault="00ED425B" w:rsidP="00ED425B">
      <w:pPr>
        <w:ind w:firstLine="0"/>
      </w:pPr>
      <w:r w:rsidRPr="000F2BEC">
        <w:rPr>
          <w:noProof/>
        </w:rPr>
        <w:drawing>
          <wp:inline distT="0" distB="0" distL="0" distR="0" wp14:anchorId="47437CF1" wp14:editId="031CF42F">
            <wp:extent cx="4663440" cy="3391535"/>
            <wp:effectExtent l="0" t="0" r="0" b="0"/>
            <wp:docPr id="6" name="Content Placeholder 3">
              <a:extLst xmlns:a="http://schemas.openxmlformats.org/drawingml/2006/main">
                <a:ext uri="{FF2B5EF4-FFF2-40B4-BE49-F238E27FC236}">
                  <a16:creationId xmlns:a16="http://schemas.microsoft.com/office/drawing/2014/main" id="{71E1515B-1CB5-8047-8092-077A57386FA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1E1515B-1CB5-8047-8092-077A57386FA4}"/>
                        </a:ext>
                      </a:extLst>
                    </pic:cNvPr>
                    <pic:cNvPicPr>
                      <a:picLocks noGrp="1" noChangeAspect="1"/>
                    </pic:cNvPicPr>
                  </pic:nvPicPr>
                  <pic:blipFill>
                    <a:blip r:embed="rId16"/>
                    <a:stretch>
                      <a:fillRect/>
                    </a:stretch>
                  </pic:blipFill>
                  <pic:spPr>
                    <a:xfrm>
                      <a:off x="0" y="0"/>
                      <a:ext cx="4663440" cy="3391535"/>
                    </a:xfrm>
                    <a:prstGeom prst="rect">
                      <a:avLst/>
                    </a:prstGeom>
                  </pic:spPr>
                </pic:pic>
              </a:graphicData>
            </a:graphic>
          </wp:inline>
        </w:drawing>
      </w:r>
    </w:p>
    <w:p w14:paraId="02CA037A" w14:textId="77777777" w:rsidR="00ED425B" w:rsidRDefault="00ED425B" w:rsidP="00ED425B"/>
    <w:p w14:paraId="1AF40E87" w14:textId="77777777" w:rsidR="00ED425B" w:rsidRDefault="00ED425B" w:rsidP="00ED425B">
      <w:r>
        <w:t xml:space="preserve">Most entities that petition before the PTAB are large corporations. About 83% are corporations, 14% are small entities, with the rest being universities, governmental organizations, NPEs, or other groups </w:t>
      </w:r>
      <w:proofErr w:type="gramStart"/>
      <w:r>
        <w:t>But</w:t>
      </w:r>
      <w:proofErr w:type="gramEnd"/>
      <w:r>
        <w:t xml:space="preserve"> the status of the patentee to which these petitions allege invalidity differs. As classified by Unified Patents, 33% of cases are brought against patent assertion entities (PAEs) as patentees, while an additional 7% are brought against individuals or small entities. The vast majority of petitions are brought against other corporations (54%), with less than 2% being brought against universities and non-profit patentees. PAEs face especially more difficult challenges at the final stage than other entities, with about 85% of final decisions against the patentee in whole or in part, slightly more than the challenge rate for other entities. </w:t>
      </w:r>
    </w:p>
    <w:p w14:paraId="1FDE1528" w14:textId="77777777" w:rsidR="00ED425B" w:rsidRDefault="00ED425B" w:rsidP="00ED425B"/>
    <w:p w14:paraId="25DE6E48" w14:textId="77777777" w:rsidR="00ED425B" w:rsidRPr="003011DB" w:rsidRDefault="00ED425B" w:rsidP="00ED425B">
      <w:r>
        <w:t xml:space="preserve">All told, through the end of 2020, PTAB proceedings involved a total of 7,800 individual patents. Approximately 897 of those patents are litigated </w:t>
      </w:r>
      <w:r w:rsidRPr="00317E50">
        <w:rPr>
          <w:i/>
          <w:iCs/>
        </w:rPr>
        <w:t>exclusively</w:t>
      </w:r>
      <w:r>
        <w:t xml:space="preserve"> at the PTAB in IPR proceedings, with no companion district court proceeding (at least as of January 2000 through December 2020). The vast majority, well over 80% of patents litigated at the PTAB, thus have at least one district court case. On the converse, about one-fifth of district court cases pending since 2000 have a companion PTAB case in part. Indeed, the median </w:t>
      </w:r>
      <w:r>
        <w:lastRenderedPageBreak/>
        <w:t xml:space="preserve">PTAB proceeding has two district court cases at some point in time. The range, however, is broad, with a few PTAB proceedings having as many as 170 district court proceedings in the past or future. In addition, many of these cases also involve the same parties. </w:t>
      </w:r>
      <w:r w:rsidRPr="003011DB">
        <w:t xml:space="preserve">A little over half of the petitioners had previously either brought a case as a declaratory judgment action or were a defendant in a district court litigation. This, of course, means that while the majority of PTAB proceedings involve parties that have a prior or pending district court proceeding, a sizeable minority of cases involve petitioners that are not the subject of a district court proceeding. Together with the fact that nearly 1,000 PTAB cases involve no prior or pending PTAB proceeding at all, it may be the case that whether or not the district court has ruled on the issue could impact how the PTAB rules or vice versa. </w:t>
      </w:r>
    </w:p>
    <w:p w14:paraId="61399652" w14:textId="77777777" w:rsidR="00ED425B" w:rsidRPr="003011DB" w:rsidRDefault="00ED425B" w:rsidP="00ED425B"/>
    <w:p w14:paraId="7948C3A4" w14:textId="77777777" w:rsidR="00ED425B" w:rsidRDefault="00ED425B" w:rsidP="00ED425B">
      <w:pPr>
        <w:widowControl/>
        <w:jc w:val="left"/>
      </w:pPr>
      <w:r>
        <w:t>Significantly, the types of cases differ between those that do not involve any type of district court proceeding and those that have at least one prior or pending district court proceeding. Most notably, the technology characteristics of the two types of cases differ. For example, biotechnology inventions are overrepresented to a statistically significant degree in the PTAB-only group, comprising 19% of the group compared to 8% of the district court group. Chemical inventions too are overrepresented (12% v. 6%) as well as mechanical (16% v. 12%), while inventions directed at communications make up a disproportionate share of the class of cases involving district court decisions (20% v. 10%). All of these differences are statistically significant. Perhaps not surprisingly, inventions involving computer architecture— long thought of as one of the main technology types for NPEs and especially PAEs —almost never are litigated exclusively at the PTAB. The other technology categories, such as computer networks, semiconductors, and transportation, have similar percentages in both groups. Notably, these large differences in technology type do not carry over when restricting the analysis to PTAB cases involving different parties than what appeared before the district court. The overall distribution of technology class types is consistent between the groups, with the main difference being mechanical inventions are more likely among the group that involve the same parties (13% v. 9%).</w:t>
      </w:r>
    </w:p>
    <w:p w14:paraId="77867471" w14:textId="77777777" w:rsidR="00ED425B" w:rsidRDefault="00ED425B" w:rsidP="00ED425B">
      <w:pPr>
        <w:widowControl/>
        <w:jc w:val="left"/>
      </w:pPr>
    </w:p>
    <w:p w14:paraId="7C2E1BA4" w14:textId="4F54666A" w:rsidR="00ED425B" w:rsidRDefault="00ED425B" w:rsidP="00ED425B">
      <w:pPr>
        <w:widowControl/>
        <w:jc w:val="left"/>
      </w:pPr>
      <w:r>
        <w:t xml:space="preserve">Another significant difference exists in the types of patentees as displayed in Figure </w:t>
      </w:r>
      <w:r w:rsidR="007427D0">
        <w:t>10</w:t>
      </w:r>
      <w:r>
        <w:t xml:space="preserve">. In the PTAB-only group, 84% of patentees come from corporations. By contrast, corporations make up only half in the district court grouping, a difference that is statistically significant. NPEs, and patent assertion entities in particular, make up almost half of PTAB cases that involve a pending or past district court proceeding, with PAEs involving 33% compared to 10% in the PTAB only group. In other words, </w:t>
      </w:r>
      <w:r>
        <w:lastRenderedPageBreak/>
        <w:t xml:space="preserve">patents owned by NPEs or PAEs are almost never attacked exclusively in PTAB proceedings. In addition, the ratio between companies and PAEs in particular also differs when including the district court cases that do not involve the same parties. About 60% of cases involving the same parties concern corporations as petitioners, compared to 53% in general. By contrast, PAEs comprise 27% of the group that has similar parties compared to 32% generally. </w:t>
      </w:r>
    </w:p>
    <w:p w14:paraId="0FE767E1" w14:textId="77777777" w:rsidR="00ED425B" w:rsidRDefault="00ED425B" w:rsidP="00ED425B">
      <w:pPr>
        <w:widowControl/>
        <w:jc w:val="left"/>
      </w:pPr>
    </w:p>
    <w:p w14:paraId="3B88DB9C" w14:textId="45712D5A" w:rsidR="00ED425B" w:rsidRDefault="00ED425B" w:rsidP="00ED425B">
      <w:pPr>
        <w:widowControl/>
        <w:ind w:firstLine="0"/>
        <w:jc w:val="center"/>
        <w:rPr>
          <w:i/>
          <w:iCs/>
        </w:rPr>
      </w:pPr>
      <w:r w:rsidRPr="00767451">
        <w:rPr>
          <w:i/>
          <w:iCs/>
        </w:rPr>
        <w:t xml:space="preserve">Figure </w:t>
      </w:r>
      <w:r w:rsidR="007427D0">
        <w:rPr>
          <w:i/>
          <w:iCs/>
        </w:rPr>
        <w:t>10</w:t>
      </w:r>
      <w:r w:rsidRPr="00767451">
        <w:rPr>
          <w:i/>
          <w:iCs/>
        </w:rPr>
        <w:t>: Types of Patentees in PTAB Proceedings</w:t>
      </w:r>
    </w:p>
    <w:p w14:paraId="0C5DC458" w14:textId="77777777" w:rsidR="00ED425B" w:rsidRDefault="00ED425B" w:rsidP="00ED425B">
      <w:pPr>
        <w:widowControl/>
        <w:ind w:firstLine="0"/>
        <w:jc w:val="center"/>
        <w:rPr>
          <w:i/>
          <w:iCs/>
        </w:rPr>
      </w:pPr>
    </w:p>
    <w:p w14:paraId="04422130" w14:textId="77777777" w:rsidR="00ED425B" w:rsidRPr="00767451" w:rsidRDefault="00ED425B" w:rsidP="00ED425B">
      <w:pPr>
        <w:widowControl/>
        <w:ind w:firstLine="0"/>
        <w:jc w:val="center"/>
        <w:rPr>
          <w:i/>
          <w:iCs/>
        </w:rPr>
      </w:pPr>
      <w:r w:rsidRPr="00767451">
        <w:rPr>
          <w:i/>
          <w:iCs/>
          <w:noProof/>
        </w:rPr>
        <w:drawing>
          <wp:inline distT="0" distB="0" distL="0" distR="0" wp14:anchorId="08D05F42" wp14:editId="3CE31296">
            <wp:extent cx="4663440" cy="3391535"/>
            <wp:effectExtent l="0" t="0" r="0" b="0"/>
            <wp:docPr id="9" name="Content Placeholder 3">
              <a:extLst xmlns:a="http://schemas.openxmlformats.org/drawingml/2006/main">
                <a:ext uri="{FF2B5EF4-FFF2-40B4-BE49-F238E27FC236}">
                  <a16:creationId xmlns:a16="http://schemas.microsoft.com/office/drawing/2014/main" id="{FEB891F5-FDFF-C141-A500-5DA3A0BFC6F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EB891F5-FDFF-C141-A500-5DA3A0BFC6F0}"/>
                        </a:ext>
                      </a:extLst>
                    </pic:cNvPr>
                    <pic:cNvPicPr>
                      <a:picLocks noGrp="1" noChangeAspect="1"/>
                    </pic:cNvPicPr>
                  </pic:nvPicPr>
                  <pic:blipFill>
                    <a:blip r:embed="rId17"/>
                    <a:stretch>
                      <a:fillRect/>
                    </a:stretch>
                  </pic:blipFill>
                  <pic:spPr>
                    <a:xfrm>
                      <a:off x="0" y="0"/>
                      <a:ext cx="4663440" cy="3391535"/>
                    </a:xfrm>
                    <a:prstGeom prst="rect">
                      <a:avLst/>
                    </a:prstGeom>
                  </pic:spPr>
                </pic:pic>
              </a:graphicData>
            </a:graphic>
          </wp:inline>
        </w:drawing>
      </w:r>
    </w:p>
    <w:p w14:paraId="77FFF145" w14:textId="77777777" w:rsidR="00ED425B" w:rsidRDefault="00ED425B" w:rsidP="00ED425B">
      <w:pPr>
        <w:widowControl/>
        <w:ind w:firstLine="0"/>
        <w:jc w:val="left"/>
      </w:pPr>
    </w:p>
    <w:p w14:paraId="30D7E52B" w14:textId="23ACB0E4" w:rsidR="00ED425B" w:rsidRPr="00A833A1" w:rsidRDefault="00ED425B" w:rsidP="00ED425B">
      <w:pPr>
        <w:pStyle w:val="Bullet1"/>
        <w:numPr>
          <w:ilvl w:val="0"/>
          <w:numId w:val="0"/>
        </w:numPr>
        <w:ind w:firstLine="720"/>
        <w:rPr>
          <w:sz w:val="24"/>
          <w:szCs w:val="24"/>
        </w:rPr>
      </w:pPr>
      <w:r w:rsidRPr="00A833A1">
        <w:rPr>
          <w:sz w:val="24"/>
          <w:szCs w:val="24"/>
        </w:rPr>
        <w:t xml:space="preserve">In addition to the types of parties and inventions differing, notably, the outcomes at the distinct parts of the PTAB proceeding —at the institution stage and later at the merits stage if the institution is not denied—reveal differences between the technology </w:t>
      </w:r>
      <w:proofErr w:type="gramStart"/>
      <w:r w:rsidRPr="00A833A1">
        <w:rPr>
          <w:sz w:val="24"/>
          <w:szCs w:val="24"/>
        </w:rPr>
        <w:t>type,  the</w:t>
      </w:r>
      <w:proofErr w:type="gramEnd"/>
      <w:r w:rsidRPr="00A833A1">
        <w:rPr>
          <w:sz w:val="24"/>
          <w:szCs w:val="24"/>
        </w:rPr>
        <w:t xml:space="preserve"> types of cases, and the types of petitioners. Take the institution phase. Figure </w:t>
      </w:r>
      <w:r w:rsidR="007427D0">
        <w:rPr>
          <w:sz w:val="24"/>
          <w:szCs w:val="24"/>
        </w:rPr>
        <w:t>11</w:t>
      </w:r>
      <w:r w:rsidRPr="00A833A1">
        <w:rPr>
          <w:sz w:val="24"/>
          <w:szCs w:val="24"/>
        </w:rPr>
        <w:t xml:space="preserve"> displays the technology class at the institution stage or beyond. While the percentages based on technology class is consistent between cases that are instituted and those that are</w:t>
      </w:r>
      <w:r>
        <w:rPr>
          <w:sz w:val="24"/>
          <w:szCs w:val="24"/>
        </w:rPr>
        <w:t xml:space="preserve"> not</w:t>
      </w:r>
      <w:r w:rsidRPr="00A833A1">
        <w:rPr>
          <w:sz w:val="24"/>
          <w:szCs w:val="24"/>
        </w:rPr>
        <w:t>, there are some exceptions. Biotechnology inventions, for example, make up a greater share of institution denials than their overall percentage might suggest (</w:t>
      </w:r>
      <w:r>
        <w:rPr>
          <w:sz w:val="24"/>
          <w:szCs w:val="24"/>
        </w:rPr>
        <w:t>10</w:t>
      </w:r>
      <w:r w:rsidRPr="00A833A1">
        <w:rPr>
          <w:sz w:val="24"/>
          <w:szCs w:val="24"/>
        </w:rPr>
        <w:t xml:space="preserve">% v. </w:t>
      </w:r>
      <w:r>
        <w:rPr>
          <w:sz w:val="24"/>
          <w:szCs w:val="24"/>
        </w:rPr>
        <w:t>7</w:t>
      </w:r>
      <w:r w:rsidRPr="00A833A1">
        <w:rPr>
          <w:sz w:val="24"/>
          <w:szCs w:val="24"/>
        </w:rPr>
        <w:t xml:space="preserve">%). Likewise, semiconductor </w:t>
      </w:r>
      <w:r>
        <w:rPr>
          <w:sz w:val="24"/>
          <w:szCs w:val="24"/>
        </w:rPr>
        <w:t xml:space="preserve">and electrical engineering </w:t>
      </w:r>
      <w:r w:rsidRPr="00A833A1">
        <w:rPr>
          <w:sz w:val="24"/>
          <w:szCs w:val="24"/>
        </w:rPr>
        <w:t xml:space="preserve">inventions are somewhat more likely to be instituted (17% v. 14%). Indeed, </w:t>
      </w:r>
      <w:r>
        <w:rPr>
          <w:sz w:val="24"/>
          <w:szCs w:val="24"/>
        </w:rPr>
        <w:t>53</w:t>
      </w:r>
      <w:r w:rsidRPr="00A833A1">
        <w:rPr>
          <w:sz w:val="24"/>
          <w:szCs w:val="24"/>
        </w:rPr>
        <w:t xml:space="preserve">% of biotechnology inventions are instituted </w:t>
      </w:r>
      <w:r w:rsidRPr="00A833A1">
        <w:rPr>
          <w:sz w:val="24"/>
          <w:szCs w:val="24"/>
        </w:rPr>
        <w:lastRenderedPageBreak/>
        <w:t xml:space="preserve">compared to, for example, </w:t>
      </w:r>
      <w:r>
        <w:rPr>
          <w:sz w:val="24"/>
          <w:szCs w:val="24"/>
        </w:rPr>
        <w:t>65</w:t>
      </w:r>
      <w:r w:rsidRPr="00A833A1">
        <w:rPr>
          <w:sz w:val="24"/>
          <w:szCs w:val="24"/>
        </w:rPr>
        <w:t xml:space="preserve">% of semiconductor inventions. Chemical </w:t>
      </w:r>
      <w:r>
        <w:rPr>
          <w:sz w:val="24"/>
          <w:szCs w:val="24"/>
        </w:rPr>
        <w:t xml:space="preserve">and material engineering </w:t>
      </w:r>
      <w:r w:rsidRPr="00A833A1">
        <w:rPr>
          <w:sz w:val="24"/>
          <w:szCs w:val="24"/>
        </w:rPr>
        <w:t>patents also are less likely to be instituted, similar to biotechnology inventions. These differences are small, but still statistically significant. PTAB proceedings brought against PAEs in particular are more likely to be instituted to a statistically significant degree</w:t>
      </w:r>
      <w:r>
        <w:rPr>
          <w:sz w:val="24"/>
          <w:szCs w:val="24"/>
        </w:rPr>
        <w:t xml:space="preserve">. </w:t>
      </w:r>
      <w:r w:rsidRPr="00A833A1">
        <w:rPr>
          <w:sz w:val="24"/>
          <w:szCs w:val="24"/>
        </w:rPr>
        <w:t xml:space="preserve">Other </w:t>
      </w:r>
      <w:r>
        <w:rPr>
          <w:sz w:val="24"/>
          <w:szCs w:val="24"/>
        </w:rPr>
        <w:t>patentees</w:t>
      </w:r>
      <w:r w:rsidRPr="00A833A1">
        <w:rPr>
          <w:sz w:val="24"/>
          <w:szCs w:val="24"/>
        </w:rPr>
        <w:t>, such as</w:t>
      </w:r>
      <w:r>
        <w:rPr>
          <w:sz w:val="24"/>
          <w:szCs w:val="24"/>
        </w:rPr>
        <w:t xml:space="preserve"> those owned by</w:t>
      </w:r>
      <w:r w:rsidRPr="00A833A1">
        <w:rPr>
          <w:sz w:val="24"/>
          <w:szCs w:val="24"/>
        </w:rPr>
        <w:t xml:space="preserve"> government and non</w:t>
      </w:r>
      <w:r>
        <w:rPr>
          <w:sz w:val="24"/>
          <w:szCs w:val="24"/>
        </w:rPr>
        <w:t>-</w:t>
      </w:r>
      <w:r w:rsidRPr="00A833A1">
        <w:rPr>
          <w:sz w:val="24"/>
          <w:szCs w:val="24"/>
        </w:rPr>
        <w:t>profit i</w:t>
      </w:r>
      <w:r>
        <w:rPr>
          <w:sz w:val="24"/>
          <w:szCs w:val="24"/>
        </w:rPr>
        <w:t>nstitutions</w:t>
      </w:r>
      <w:r w:rsidRPr="00A833A1">
        <w:rPr>
          <w:sz w:val="24"/>
          <w:szCs w:val="24"/>
        </w:rPr>
        <w:t xml:space="preserve">, are much less likely to survive institution, with only 31% advancing to the next stage. </w:t>
      </w:r>
      <w:r>
        <w:rPr>
          <w:sz w:val="24"/>
          <w:szCs w:val="24"/>
        </w:rPr>
        <w:t xml:space="preserve">Comparing the PTAB-only and the district court group, those that do not have a comparable district court proceeding are slightly more likely to be instituted (62% v. 61%), but the difference is small. There is no difference in institution rate depending on whether or not the parties involved in the district court litigation are the same as the petitioner, in whole or in part. </w:t>
      </w:r>
      <w:r w:rsidRPr="00A833A1">
        <w:rPr>
          <w:sz w:val="24"/>
          <w:szCs w:val="24"/>
        </w:rPr>
        <w:t xml:space="preserve">Figure </w:t>
      </w:r>
      <w:r w:rsidR="007427D0">
        <w:rPr>
          <w:sz w:val="24"/>
          <w:szCs w:val="24"/>
        </w:rPr>
        <w:t xml:space="preserve">12 </w:t>
      </w:r>
      <w:r w:rsidRPr="00A833A1">
        <w:rPr>
          <w:sz w:val="24"/>
          <w:szCs w:val="24"/>
        </w:rPr>
        <w:t xml:space="preserve">shows the </w:t>
      </w:r>
      <w:r>
        <w:rPr>
          <w:sz w:val="24"/>
          <w:szCs w:val="24"/>
        </w:rPr>
        <w:t xml:space="preserve">patentee </w:t>
      </w:r>
      <w:r w:rsidRPr="00A833A1">
        <w:rPr>
          <w:sz w:val="24"/>
          <w:szCs w:val="24"/>
        </w:rPr>
        <w:t>entity status at the institution stage or beyond.</w:t>
      </w:r>
    </w:p>
    <w:p w14:paraId="657F7B42" w14:textId="77777777" w:rsidR="00ED425B" w:rsidRDefault="00ED425B" w:rsidP="00ED425B">
      <w:pPr>
        <w:widowControl/>
        <w:ind w:firstLine="0"/>
        <w:jc w:val="left"/>
      </w:pPr>
    </w:p>
    <w:p w14:paraId="66A88E9B" w14:textId="59154341" w:rsidR="00ED425B" w:rsidRPr="00C54F07" w:rsidRDefault="00ED425B" w:rsidP="00ED425B">
      <w:pPr>
        <w:widowControl/>
        <w:ind w:firstLine="0"/>
        <w:jc w:val="center"/>
        <w:rPr>
          <w:i/>
          <w:iCs/>
        </w:rPr>
      </w:pPr>
      <w:r w:rsidRPr="00C54F07">
        <w:rPr>
          <w:i/>
          <w:iCs/>
        </w:rPr>
        <w:t xml:space="preserve">Figure </w:t>
      </w:r>
      <w:r w:rsidR="007427D0">
        <w:rPr>
          <w:i/>
          <w:iCs/>
        </w:rPr>
        <w:t>11</w:t>
      </w:r>
      <w:r w:rsidRPr="00C54F07">
        <w:rPr>
          <w:i/>
          <w:iCs/>
        </w:rPr>
        <w:t xml:space="preserve">: Technology Class </w:t>
      </w:r>
      <w:r>
        <w:rPr>
          <w:i/>
          <w:iCs/>
        </w:rPr>
        <w:t>at Institution Stage</w:t>
      </w:r>
    </w:p>
    <w:p w14:paraId="6B73C545" w14:textId="77777777" w:rsidR="00ED425B" w:rsidRDefault="00ED425B" w:rsidP="00ED425B">
      <w:pPr>
        <w:widowControl/>
        <w:ind w:firstLine="0"/>
        <w:jc w:val="left"/>
      </w:pPr>
    </w:p>
    <w:p w14:paraId="5363D6A9" w14:textId="77777777" w:rsidR="00ED425B" w:rsidRDefault="00ED425B" w:rsidP="00ED425B">
      <w:pPr>
        <w:widowControl/>
        <w:ind w:firstLine="0"/>
        <w:jc w:val="center"/>
        <w:rPr>
          <w:i/>
          <w:iCs/>
        </w:rPr>
      </w:pPr>
      <w:r w:rsidRPr="00C54F07">
        <w:rPr>
          <w:noProof/>
        </w:rPr>
        <w:drawing>
          <wp:inline distT="0" distB="0" distL="0" distR="0" wp14:anchorId="6E4CEA62" wp14:editId="17C8A3B8">
            <wp:extent cx="4663440" cy="3391535"/>
            <wp:effectExtent l="0" t="0" r="0" b="0"/>
            <wp:docPr id="7" name="Content Placeholder 3">
              <a:extLst xmlns:a="http://schemas.openxmlformats.org/drawingml/2006/main">
                <a:ext uri="{FF2B5EF4-FFF2-40B4-BE49-F238E27FC236}">
                  <a16:creationId xmlns:a16="http://schemas.microsoft.com/office/drawing/2014/main" id="{331955CD-DD05-E341-824D-0177D02C5FF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331955CD-DD05-E341-824D-0177D02C5FFA}"/>
                        </a:ext>
                      </a:extLst>
                    </pic:cNvPr>
                    <pic:cNvPicPr>
                      <a:picLocks noGrp="1" noChangeAspect="1"/>
                    </pic:cNvPicPr>
                  </pic:nvPicPr>
                  <pic:blipFill>
                    <a:blip r:embed="rId18"/>
                    <a:stretch>
                      <a:fillRect/>
                    </a:stretch>
                  </pic:blipFill>
                  <pic:spPr>
                    <a:xfrm>
                      <a:off x="0" y="0"/>
                      <a:ext cx="4663440" cy="3391535"/>
                    </a:xfrm>
                    <a:prstGeom prst="rect">
                      <a:avLst/>
                    </a:prstGeom>
                  </pic:spPr>
                </pic:pic>
              </a:graphicData>
            </a:graphic>
          </wp:inline>
        </w:drawing>
      </w:r>
    </w:p>
    <w:p w14:paraId="382EEF21" w14:textId="77777777" w:rsidR="00ED425B" w:rsidRDefault="00ED425B" w:rsidP="00ED425B">
      <w:pPr>
        <w:widowControl/>
        <w:ind w:firstLine="0"/>
        <w:jc w:val="center"/>
        <w:rPr>
          <w:i/>
          <w:iCs/>
        </w:rPr>
      </w:pPr>
    </w:p>
    <w:p w14:paraId="7B98A7BE" w14:textId="77777777" w:rsidR="00ED425B" w:rsidRDefault="00ED425B" w:rsidP="00ED425B">
      <w:pPr>
        <w:widowControl/>
        <w:ind w:firstLine="0"/>
        <w:jc w:val="center"/>
        <w:rPr>
          <w:i/>
          <w:iCs/>
        </w:rPr>
      </w:pPr>
    </w:p>
    <w:p w14:paraId="2A680D4D" w14:textId="77777777" w:rsidR="00ED425B" w:rsidRDefault="00ED425B" w:rsidP="00ED425B">
      <w:pPr>
        <w:widowControl/>
        <w:ind w:firstLine="0"/>
        <w:jc w:val="center"/>
        <w:rPr>
          <w:i/>
          <w:iCs/>
        </w:rPr>
      </w:pPr>
    </w:p>
    <w:p w14:paraId="74D2FE63" w14:textId="77777777" w:rsidR="00ED425B" w:rsidRDefault="00ED425B" w:rsidP="00ED425B">
      <w:pPr>
        <w:widowControl/>
        <w:ind w:firstLine="0"/>
        <w:jc w:val="center"/>
        <w:rPr>
          <w:i/>
          <w:iCs/>
        </w:rPr>
      </w:pPr>
    </w:p>
    <w:p w14:paraId="5D761DBD" w14:textId="77777777" w:rsidR="00ED425B" w:rsidRDefault="00ED425B" w:rsidP="00ED425B">
      <w:pPr>
        <w:widowControl/>
        <w:ind w:firstLine="0"/>
        <w:jc w:val="center"/>
        <w:rPr>
          <w:i/>
          <w:iCs/>
        </w:rPr>
      </w:pPr>
    </w:p>
    <w:p w14:paraId="175FCC94" w14:textId="77777777" w:rsidR="00ED425B" w:rsidRDefault="00ED425B" w:rsidP="00ED425B">
      <w:pPr>
        <w:widowControl/>
        <w:ind w:firstLine="0"/>
        <w:jc w:val="center"/>
        <w:rPr>
          <w:i/>
          <w:iCs/>
        </w:rPr>
      </w:pPr>
    </w:p>
    <w:p w14:paraId="51381957" w14:textId="77777777" w:rsidR="00ED425B" w:rsidRDefault="00ED425B" w:rsidP="00ED425B">
      <w:pPr>
        <w:widowControl/>
        <w:ind w:firstLine="0"/>
        <w:jc w:val="center"/>
        <w:rPr>
          <w:i/>
          <w:iCs/>
        </w:rPr>
      </w:pPr>
    </w:p>
    <w:p w14:paraId="7030F4B2" w14:textId="0442FC63" w:rsidR="00ED425B" w:rsidRPr="00D45705" w:rsidRDefault="00ED425B" w:rsidP="00ED425B">
      <w:pPr>
        <w:widowControl/>
        <w:ind w:firstLine="0"/>
        <w:jc w:val="center"/>
        <w:rPr>
          <w:i/>
          <w:iCs/>
        </w:rPr>
      </w:pPr>
      <w:r w:rsidRPr="00D45705">
        <w:rPr>
          <w:i/>
          <w:iCs/>
        </w:rPr>
        <w:lastRenderedPageBreak/>
        <w:t xml:space="preserve">Figure </w:t>
      </w:r>
      <w:r w:rsidR="007427D0">
        <w:rPr>
          <w:i/>
          <w:iCs/>
        </w:rPr>
        <w:t>12</w:t>
      </w:r>
      <w:r w:rsidRPr="00D45705">
        <w:rPr>
          <w:i/>
          <w:iCs/>
        </w:rPr>
        <w:t xml:space="preserve">: </w:t>
      </w:r>
      <w:r>
        <w:rPr>
          <w:i/>
          <w:iCs/>
        </w:rPr>
        <w:t xml:space="preserve">Patentee </w:t>
      </w:r>
      <w:r w:rsidRPr="00D45705">
        <w:rPr>
          <w:i/>
          <w:iCs/>
        </w:rPr>
        <w:t xml:space="preserve">Entity Status at </w:t>
      </w:r>
      <w:r>
        <w:rPr>
          <w:i/>
          <w:iCs/>
        </w:rPr>
        <w:t>Merits</w:t>
      </w:r>
      <w:r w:rsidRPr="00D45705">
        <w:rPr>
          <w:i/>
          <w:iCs/>
        </w:rPr>
        <w:t xml:space="preserve"> Stage</w:t>
      </w:r>
    </w:p>
    <w:p w14:paraId="2128458E" w14:textId="77777777" w:rsidR="00ED425B" w:rsidRPr="00D45705" w:rsidRDefault="00ED425B" w:rsidP="00ED425B">
      <w:pPr>
        <w:ind w:firstLine="0"/>
        <w:jc w:val="center"/>
        <w:rPr>
          <w:i/>
          <w:iCs/>
        </w:rPr>
      </w:pPr>
    </w:p>
    <w:p w14:paraId="210119DA" w14:textId="77777777" w:rsidR="00ED425B" w:rsidRDefault="00ED425B" w:rsidP="00ED425B">
      <w:pPr>
        <w:ind w:firstLine="0"/>
      </w:pPr>
      <w:r w:rsidRPr="00D45705">
        <w:rPr>
          <w:noProof/>
        </w:rPr>
        <w:drawing>
          <wp:inline distT="0" distB="0" distL="0" distR="0" wp14:anchorId="073D95E6" wp14:editId="60AC5A0A">
            <wp:extent cx="4663440" cy="3391535"/>
            <wp:effectExtent l="0" t="0" r="0" b="0"/>
            <wp:docPr id="10" name="Content Placeholder 3">
              <a:extLst xmlns:a="http://schemas.openxmlformats.org/drawingml/2006/main">
                <a:ext uri="{FF2B5EF4-FFF2-40B4-BE49-F238E27FC236}">
                  <a16:creationId xmlns:a16="http://schemas.microsoft.com/office/drawing/2014/main" id="{D3B273A2-51D6-DA48-A581-3AC00B38290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3B273A2-51D6-DA48-A581-3AC00B38290D}"/>
                        </a:ext>
                      </a:extLst>
                    </pic:cNvPr>
                    <pic:cNvPicPr>
                      <a:picLocks noGrp="1" noChangeAspect="1"/>
                    </pic:cNvPicPr>
                  </pic:nvPicPr>
                  <pic:blipFill>
                    <a:blip r:embed="rId19"/>
                    <a:stretch>
                      <a:fillRect/>
                    </a:stretch>
                  </pic:blipFill>
                  <pic:spPr>
                    <a:xfrm>
                      <a:off x="0" y="0"/>
                      <a:ext cx="4663440" cy="3391535"/>
                    </a:xfrm>
                    <a:prstGeom prst="rect">
                      <a:avLst/>
                    </a:prstGeom>
                  </pic:spPr>
                </pic:pic>
              </a:graphicData>
            </a:graphic>
          </wp:inline>
        </w:drawing>
      </w:r>
    </w:p>
    <w:p w14:paraId="42497BB0" w14:textId="77777777" w:rsidR="00ED425B" w:rsidRDefault="00ED425B" w:rsidP="00ED425B"/>
    <w:p w14:paraId="4BA463A8" w14:textId="4F50AC8F" w:rsidR="00ED425B" w:rsidRDefault="00ED425B" w:rsidP="00A235FA">
      <w:r>
        <w:t>At the final merits stage, there are also notable differences in technology, patentee type, and whether or not there were other district court proceedings. At the merits stage, the PTAB is most likely to uphold biotechnology inventions against challenge (63% compared to approximately 81% for other technology categories except design patents). Certain types of entities also are more or less likely to survive challenge. Surprisingly, although a lower percentage of government or non-profit patentee inventions are instituted, when they do advance to the merits stage, the PTAB is disproportionately less likely to favor these types of patentees, ruling in favor of the petitioner in 92% of cases. By contrast, PAE patentees prevail 85% while universities and companies and universities as patentees have a ruling against them in whole or in part about 77% of the time. At this final stage in the proceeding, the PTAB rules against the patentee at similar rates regardless of whether there is or is not a district court litigation or whether the parties are the same as those before pending or past district court litigation. Figure 1</w:t>
      </w:r>
      <w:r w:rsidR="007427D0">
        <w:t>3</w:t>
      </w:r>
      <w:r>
        <w:t xml:space="preserve"> displays the data in a different way, showing the technology class of all patents that reach the merits stage, with a decision supportive or not of the patentee while Figure 1</w:t>
      </w:r>
      <w:r w:rsidR="007427D0">
        <w:t>4</w:t>
      </w:r>
      <w:r>
        <w:t xml:space="preserve"> shows the breakdown by entity type for decisions reaching a merits </w:t>
      </w:r>
      <w:r w:rsidR="00A235FA">
        <w:t>decision</w:t>
      </w:r>
    </w:p>
    <w:p w14:paraId="7C8FF699" w14:textId="77777777" w:rsidR="00ED425B" w:rsidRDefault="00ED425B" w:rsidP="00ED425B">
      <w:pPr>
        <w:ind w:firstLine="0"/>
      </w:pPr>
    </w:p>
    <w:p w14:paraId="39F4523B" w14:textId="0824119C" w:rsidR="00ED425B" w:rsidRPr="00911BBC" w:rsidRDefault="00ED425B" w:rsidP="00ED425B">
      <w:pPr>
        <w:ind w:firstLine="0"/>
        <w:jc w:val="center"/>
        <w:rPr>
          <w:i/>
          <w:iCs/>
        </w:rPr>
      </w:pPr>
      <w:r w:rsidRPr="00911BBC">
        <w:rPr>
          <w:i/>
          <w:iCs/>
        </w:rPr>
        <w:lastRenderedPageBreak/>
        <w:t xml:space="preserve">Figure </w:t>
      </w:r>
      <w:r>
        <w:rPr>
          <w:i/>
          <w:iCs/>
        </w:rPr>
        <w:t>1</w:t>
      </w:r>
      <w:r w:rsidR="007427D0">
        <w:rPr>
          <w:i/>
          <w:iCs/>
        </w:rPr>
        <w:t>3</w:t>
      </w:r>
      <w:r w:rsidRPr="00911BBC">
        <w:rPr>
          <w:i/>
          <w:iCs/>
        </w:rPr>
        <w:t>: Technology Class at Merits St</w:t>
      </w:r>
      <w:r w:rsidR="00CF3732">
        <w:rPr>
          <w:i/>
          <w:iCs/>
        </w:rPr>
        <w:t>age</w:t>
      </w:r>
    </w:p>
    <w:p w14:paraId="6D0364A4" w14:textId="77777777" w:rsidR="00ED425B" w:rsidRDefault="00ED425B" w:rsidP="00ED425B"/>
    <w:p w14:paraId="3638E529" w14:textId="77777777" w:rsidR="00ED425B" w:rsidRPr="00B12B5E" w:rsidRDefault="00ED425B" w:rsidP="00ED425B">
      <w:r w:rsidRPr="000D6E19">
        <w:rPr>
          <w:noProof/>
        </w:rPr>
        <w:drawing>
          <wp:inline distT="0" distB="0" distL="0" distR="0" wp14:anchorId="4F072865" wp14:editId="60A580B5">
            <wp:extent cx="4663440" cy="3391535"/>
            <wp:effectExtent l="0" t="0" r="0" b="0"/>
            <wp:docPr id="8" name="Content Placeholder 3">
              <a:extLst xmlns:a="http://schemas.openxmlformats.org/drawingml/2006/main">
                <a:ext uri="{FF2B5EF4-FFF2-40B4-BE49-F238E27FC236}">
                  <a16:creationId xmlns:a16="http://schemas.microsoft.com/office/drawing/2014/main" id="{5ECD2DD8-A179-A84F-8207-E1F1CAAA637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5ECD2DD8-A179-A84F-8207-E1F1CAAA6376}"/>
                        </a:ext>
                      </a:extLst>
                    </pic:cNvPr>
                    <pic:cNvPicPr>
                      <a:picLocks noGrp="1" noChangeAspect="1"/>
                    </pic:cNvPicPr>
                  </pic:nvPicPr>
                  <pic:blipFill>
                    <a:blip r:embed="rId20"/>
                    <a:stretch>
                      <a:fillRect/>
                    </a:stretch>
                  </pic:blipFill>
                  <pic:spPr>
                    <a:xfrm>
                      <a:off x="0" y="0"/>
                      <a:ext cx="4663440" cy="3391535"/>
                    </a:xfrm>
                    <a:prstGeom prst="rect">
                      <a:avLst/>
                    </a:prstGeom>
                  </pic:spPr>
                </pic:pic>
              </a:graphicData>
            </a:graphic>
          </wp:inline>
        </w:drawing>
      </w:r>
    </w:p>
    <w:p w14:paraId="3FBC19DB" w14:textId="77777777" w:rsidR="00ED425B" w:rsidRDefault="00ED425B" w:rsidP="00ED425B">
      <w:pPr>
        <w:ind w:firstLine="0"/>
        <w:jc w:val="center"/>
        <w:rPr>
          <w:i/>
          <w:iCs/>
        </w:rPr>
      </w:pPr>
    </w:p>
    <w:p w14:paraId="2E38B6BC" w14:textId="77777777" w:rsidR="00ED425B" w:rsidRDefault="00ED425B" w:rsidP="00ED425B">
      <w:pPr>
        <w:ind w:firstLine="0"/>
        <w:jc w:val="center"/>
        <w:rPr>
          <w:i/>
          <w:iCs/>
        </w:rPr>
      </w:pPr>
    </w:p>
    <w:p w14:paraId="50C70B69" w14:textId="77777777" w:rsidR="00ED425B" w:rsidRDefault="00ED425B" w:rsidP="00ED425B">
      <w:pPr>
        <w:ind w:firstLine="0"/>
        <w:jc w:val="center"/>
        <w:rPr>
          <w:i/>
          <w:iCs/>
        </w:rPr>
      </w:pPr>
    </w:p>
    <w:p w14:paraId="7F0D8F10" w14:textId="77777777" w:rsidR="00ED425B" w:rsidRDefault="00ED425B" w:rsidP="00ED425B">
      <w:pPr>
        <w:ind w:firstLine="0"/>
        <w:jc w:val="center"/>
        <w:rPr>
          <w:i/>
          <w:iCs/>
        </w:rPr>
      </w:pPr>
    </w:p>
    <w:p w14:paraId="4636436F" w14:textId="77777777" w:rsidR="00ED425B" w:rsidRDefault="00ED425B" w:rsidP="00ED425B">
      <w:pPr>
        <w:ind w:firstLine="0"/>
        <w:jc w:val="center"/>
        <w:rPr>
          <w:i/>
          <w:iCs/>
        </w:rPr>
      </w:pPr>
    </w:p>
    <w:p w14:paraId="2AC5E573" w14:textId="77777777" w:rsidR="00ED425B" w:rsidRDefault="00ED425B" w:rsidP="00ED425B">
      <w:pPr>
        <w:ind w:firstLine="0"/>
        <w:jc w:val="center"/>
        <w:rPr>
          <w:i/>
          <w:iCs/>
        </w:rPr>
      </w:pPr>
    </w:p>
    <w:p w14:paraId="05002461" w14:textId="77777777" w:rsidR="00ED425B" w:rsidRDefault="00ED425B" w:rsidP="00ED425B">
      <w:pPr>
        <w:ind w:firstLine="0"/>
        <w:jc w:val="center"/>
        <w:rPr>
          <w:i/>
          <w:iCs/>
        </w:rPr>
      </w:pPr>
    </w:p>
    <w:p w14:paraId="7180482B" w14:textId="77777777" w:rsidR="00ED425B" w:rsidRDefault="00ED425B" w:rsidP="00ED425B">
      <w:pPr>
        <w:ind w:firstLine="0"/>
        <w:jc w:val="center"/>
        <w:rPr>
          <w:i/>
          <w:iCs/>
        </w:rPr>
      </w:pPr>
    </w:p>
    <w:p w14:paraId="615D9CE5" w14:textId="77777777" w:rsidR="00ED425B" w:rsidRDefault="00ED425B" w:rsidP="00ED425B">
      <w:pPr>
        <w:ind w:firstLine="0"/>
        <w:jc w:val="center"/>
        <w:rPr>
          <w:i/>
          <w:iCs/>
        </w:rPr>
      </w:pPr>
    </w:p>
    <w:p w14:paraId="5F58E005" w14:textId="77777777" w:rsidR="00ED425B" w:rsidRDefault="00ED425B" w:rsidP="00ED425B">
      <w:pPr>
        <w:ind w:firstLine="0"/>
        <w:jc w:val="center"/>
        <w:rPr>
          <w:i/>
          <w:iCs/>
        </w:rPr>
      </w:pPr>
    </w:p>
    <w:p w14:paraId="6F97100E" w14:textId="77777777" w:rsidR="00ED425B" w:rsidRDefault="00ED425B" w:rsidP="00ED425B">
      <w:pPr>
        <w:ind w:firstLine="0"/>
        <w:jc w:val="center"/>
        <w:rPr>
          <w:i/>
          <w:iCs/>
        </w:rPr>
      </w:pPr>
    </w:p>
    <w:p w14:paraId="114FED0A" w14:textId="77777777" w:rsidR="00ED425B" w:rsidRDefault="00ED425B" w:rsidP="00ED425B">
      <w:pPr>
        <w:ind w:firstLine="0"/>
        <w:jc w:val="center"/>
        <w:rPr>
          <w:i/>
          <w:iCs/>
        </w:rPr>
      </w:pPr>
    </w:p>
    <w:p w14:paraId="4245472A" w14:textId="77777777" w:rsidR="00ED425B" w:rsidRDefault="00ED425B" w:rsidP="00ED425B">
      <w:pPr>
        <w:ind w:firstLine="0"/>
        <w:jc w:val="center"/>
        <w:rPr>
          <w:i/>
          <w:iCs/>
        </w:rPr>
      </w:pPr>
    </w:p>
    <w:p w14:paraId="76C7E860" w14:textId="77777777" w:rsidR="00ED425B" w:rsidRDefault="00ED425B" w:rsidP="00ED425B">
      <w:pPr>
        <w:ind w:firstLine="0"/>
        <w:jc w:val="center"/>
        <w:rPr>
          <w:i/>
          <w:iCs/>
        </w:rPr>
      </w:pPr>
    </w:p>
    <w:p w14:paraId="6E2AAE12" w14:textId="77777777" w:rsidR="00ED425B" w:rsidRDefault="00ED425B" w:rsidP="00ED425B">
      <w:pPr>
        <w:ind w:firstLine="0"/>
        <w:jc w:val="center"/>
        <w:rPr>
          <w:i/>
          <w:iCs/>
        </w:rPr>
      </w:pPr>
    </w:p>
    <w:p w14:paraId="7664EAD6" w14:textId="77777777" w:rsidR="00ED425B" w:rsidRDefault="00ED425B" w:rsidP="00ED425B">
      <w:pPr>
        <w:ind w:firstLine="0"/>
        <w:jc w:val="center"/>
        <w:rPr>
          <w:i/>
          <w:iCs/>
        </w:rPr>
      </w:pPr>
    </w:p>
    <w:p w14:paraId="18920F27" w14:textId="77777777" w:rsidR="00ED425B" w:rsidRDefault="00ED425B" w:rsidP="00ED425B">
      <w:pPr>
        <w:ind w:firstLine="0"/>
        <w:jc w:val="center"/>
        <w:rPr>
          <w:i/>
          <w:iCs/>
        </w:rPr>
      </w:pPr>
    </w:p>
    <w:p w14:paraId="365C04F0" w14:textId="77777777" w:rsidR="00ED425B" w:rsidRDefault="00ED425B" w:rsidP="00ED425B">
      <w:pPr>
        <w:ind w:firstLine="0"/>
        <w:jc w:val="center"/>
        <w:rPr>
          <w:i/>
          <w:iCs/>
        </w:rPr>
      </w:pPr>
    </w:p>
    <w:p w14:paraId="033646C1" w14:textId="77777777" w:rsidR="00ED425B" w:rsidRDefault="00ED425B" w:rsidP="00ED425B">
      <w:pPr>
        <w:ind w:firstLine="0"/>
        <w:jc w:val="center"/>
        <w:rPr>
          <w:i/>
          <w:iCs/>
        </w:rPr>
      </w:pPr>
    </w:p>
    <w:p w14:paraId="54450C3D" w14:textId="77777777" w:rsidR="00ED425B" w:rsidRDefault="00ED425B" w:rsidP="00ED425B">
      <w:pPr>
        <w:ind w:firstLine="0"/>
        <w:jc w:val="center"/>
        <w:rPr>
          <w:i/>
          <w:iCs/>
        </w:rPr>
      </w:pPr>
    </w:p>
    <w:p w14:paraId="77F36DDB" w14:textId="77777777" w:rsidR="00ED425B" w:rsidRDefault="00ED425B" w:rsidP="00ED425B">
      <w:pPr>
        <w:ind w:firstLine="0"/>
        <w:jc w:val="center"/>
        <w:rPr>
          <w:i/>
          <w:iCs/>
        </w:rPr>
      </w:pPr>
    </w:p>
    <w:p w14:paraId="50CA5867" w14:textId="05F5C6E4" w:rsidR="00ED425B" w:rsidRDefault="00ED425B" w:rsidP="00ED425B">
      <w:pPr>
        <w:ind w:firstLine="0"/>
        <w:jc w:val="center"/>
        <w:rPr>
          <w:i/>
          <w:iCs/>
        </w:rPr>
      </w:pPr>
      <w:r w:rsidRPr="00EC5384">
        <w:rPr>
          <w:i/>
          <w:iCs/>
        </w:rPr>
        <w:lastRenderedPageBreak/>
        <w:t>Figure 1</w:t>
      </w:r>
      <w:r w:rsidR="007427D0">
        <w:rPr>
          <w:i/>
          <w:iCs/>
        </w:rPr>
        <w:t>4</w:t>
      </w:r>
      <w:r w:rsidRPr="00EC5384">
        <w:rPr>
          <w:i/>
          <w:iCs/>
        </w:rPr>
        <w:t xml:space="preserve">: </w:t>
      </w:r>
      <w:r>
        <w:rPr>
          <w:i/>
          <w:iCs/>
        </w:rPr>
        <w:t xml:space="preserve">Patentee </w:t>
      </w:r>
      <w:r w:rsidRPr="00EC5384">
        <w:rPr>
          <w:i/>
          <w:iCs/>
        </w:rPr>
        <w:t>Entity Status at Merits Stage</w:t>
      </w:r>
    </w:p>
    <w:p w14:paraId="7DAE4C58" w14:textId="77777777" w:rsidR="00ED425B" w:rsidRDefault="00ED425B" w:rsidP="00ED425B">
      <w:pPr>
        <w:ind w:firstLine="0"/>
        <w:jc w:val="center"/>
        <w:rPr>
          <w:i/>
          <w:iCs/>
        </w:rPr>
      </w:pPr>
    </w:p>
    <w:p w14:paraId="22B3BF83" w14:textId="77777777" w:rsidR="00ED425B" w:rsidRPr="00EC5384" w:rsidRDefault="00ED425B" w:rsidP="00ED425B">
      <w:pPr>
        <w:ind w:firstLine="0"/>
        <w:jc w:val="center"/>
        <w:rPr>
          <w:i/>
          <w:iCs/>
        </w:rPr>
      </w:pPr>
      <w:r w:rsidRPr="00EC5384">
        <w:rPr>
          <w:i/>
          <w:iCs/>
          <w:noProof/>
        </w:rPr>
        <w:drawing>
          <wp:inline distT="0" distB="0" distL="0" distR="0" wp14:anchorId="48478DAC" wp14:editId="7C12EB3A">
            <wp:extent cx="4663440" cy="3391535"/>
            <wp:effectExtent l="0" t="0" r="0" b="0"/>
            <wp:docPr id="11" name="Content Placeholder 3">
              <a:extLst xmlns:a="http://schemas.openxmlformats.org/drawingml/2006/main">
                <a:ext uri="{FF2B5EF4-FFF2-40B4-BE49-F238E27FC236}">
                  <a16:creationId xmlns:a16="http://schemas.microsoft.com/office/drawing/2014/main" id="{F2D9C99C-69F2-1044-A175-11AAFDD1FB3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2D9C99C-69F2-1044-A175-11AAFDD1FB31}"/>
                        </a:ext>
                      </a:extLst>
                    </pic:cNvPr>
                    <pic:cNvPicPr>
                      <a:picLocks noGrp="1" noChangeAspect="1"/>
                    </pic:cNvPicPr>
                  </pic:nvPicPr>
                  <pic:blipFill>
                    <a:blip r:embed="rId21"/>
                    <a:stretch>
                      <a:fillRect/>
                    </a:stretch>
                  </pic:blipFill>
                  <pic:spPr>
                    <a:xfrm>
                      <a:off x="0" y="0"/>
                      <a:ext cx="4663440" cy="3391535"/>
                    </a:xfrm>
                    <a:prstGeom prst="rect">
                      <a:avLst/>
                    </a:prstGeom>
                  </pic:spPr>
                </pic:pic>
              </a:graphicData>
            </a:graphic>
          </wp:inline>
        </w:drawing>
      </w:r>
    </w:p>
    <w:p w14:paraId="64C6BBA9" w14:textId="77777777" w:rsidR="00ED425B" w:rsidRDefault="00ED425B" w:rsidP="00ED425B"/>
    <w:p w14:paraId="371A2FA4" w14:textId="224CCE2F" w:rsidR="00ED425B" w:rsidRDefault="00ED425B" w:rsidP="00ED425B">
      <w:r>
        <w:t xml:space="preserve">Notably, multiple PTAB proceedings are often brought involving the same patents. About 20% of patents had one other PTAB proceeding, another 20% had two proceedings, and the remaining had four or more proceedings. In some cases, the same petitioners and parties file multiple PTAB proceedings against the same parties, but file separate proceedings alleging invalidity of separate claims. Future iterations of the Article will yield more information about how differences in claim and the prior art divide up between the cases. Significantly, certain technology types are more common in unique proceedings; as with the district court, biotechnology proceedings are more likely to be subject to unique proceedings, as are chemical inventions, while communications and computer patents are more likely to involve multiple proceedings. Indeed, many parties are repeat players; Google, Apple, Verizon, and other large companies make up a disproportionate share of parties, with cases brought against PAE patentees often being the subject of multiple proceedings involving the same patent, which is one of the reasons why many inventors loath the PTAB. Indeed, 33% of cases involving PAE patentees have multiple proceedings, while only 22% of unique proceedings involve PAEs. In addition, while about half of IPR proceedings involve in part the same litigants as the district court proceeding, this number is reduced for patents involving multiple PTAB </w:t>
      </w:r>
      <w:r>
        <w:lastRenderedPageBreak/>
        <w:t xml:space="preserve">proceedings. </w:t>
      </w:r>
    </w:p>
    <w:p w14:paraId="02A279FA" w14:textId="77777777" w:rsidR="00ED425B" w:rsidRDefault="00ED425B" w:rsidP="00ED425B"/>
    <w:p w14:paraId="2E2E25AB" w14:textId="23E3CC8D" w:rsidR="00ED425B" w:rsidRDefault="00ED425B" w:rsidP="00651E64">
      <w:pPr>
        <w:pStyle w:val="ListParagraph"/>
        <w:numPr>
          <w:ilvl w:val="0"/>
          <w:numId w:val="50"/>
        </w:numPr>
      </w:pPr>
      <w:r>
        <w:t>Statistical Analysis of PTAB Institution and Invalidity</w:t>
      </w:r>
    </w:p>
    <w:p w14:paraId="3B67CD4B" w14:textId="77777777" w:rsidR="00ED425B" w:rsidRDefault="00ED425B" w:rsidP="00ED425B"/>
    <w:p w14:paraId="183B7B42" w14:textId="2EA729E7" w:rsidR="00ED425B" w:rsidRDefault="00ED425B" w:rsidP="00ED425B">
      <w:r>
        <w:t xml:space="preserve">The cross tabs described in Section </w:t>
      </w:r>
      <w:r w:rsidR="00651E64">
        <w:t>1</w:t>
      </w:r>
      <w:r>
        <w:t xml:space="preserve"> simply reveal relationships; it may be that once other factors are controlled for, statistically significant differences disappear. </w:t>
      </w:r>
      <w:r w:rsidR="00E23FA0">
        <w:t xml:space="preserve"> Given the widespread attention to the PTAB judges, does the PTAB presiding judge’s demographics and experience even affect decisions? </w:t>
      </w:r>
      <w:r>
        <w:t xml:space="preserve">This section details two logistic regression analysis on 1) the decision to institute or not; and 2) once instituted, whether or not the patent’s claims petitioned in the case are ruled invalid. For simplicity, cases in which the parties settled after institution, or where the patentee disclaimed after institution or the case was procedurally dismissed were eliminated. In addition, to make the dependent variable dichotomous, the merits regression focuses only on whether the PTAB found the patent invalid in whole or in part; thus, if the PTAB found some claims invalid and failed to find others invalid, the decision was still coded as “1” for “invalid.” </w:t>
      </w:r>
    </w:p>
    <w:p w14:paraId="3CF4519E" w14:textId="77777777" w:rsidR="00ED425B" w:rsidRDefault="00ED425B" w:rsidP="00ED425B"/>
    <w:p w14:paraId="03EBEE8C" w14:textId="4205F45A" w:rsidR="00ED425B" w:rsidRDefault="00ED425B" w:rsidP="00ED425B">
      <w:pPr>
        <w:rPr>
          <w:b/>
          <w:bCs/>
          <w:i/>
          <w:iCs/>
        </w:rPr>
      </w:pPr>
      <w:r>
        <w:t xml:space="preserve">There are of course some problems with this dataset that make statistical inferences challenging. Panels at the PTAB, unlike most panels in the federal courts, are not necessarily randomly assigned. Indeed, in the recent </w:t>
      </w:r>
      <w:r w:rsidRPr="002D4957">
        <w:rPr>
          <w:i/>
          <w:iCs/>
        </w:rPr>
        <w:t>Arthrex v. United States</w:t>
      </w:r>
      <w:r>
        <w:t xml:space="preserve"> decision, the PTO Director taunted his ability to “screen” panels as an important tool of control. As such, the lack of random assignment here complicates any statistical analysis. Further, it may be the case that a more complicated statistical model, like an instrumental variable regression, should be used instead.</w:t>
      </w:r>
      <w:r w:rsidR="007427D0">
        <w:t xml:space="preserve"> Or there could be endogeneity arising from the examiner’s initial decision </w:t>
      </w:r>
      <w:proofErr w:type="gramStart"/>
      <w:r w:rsidR="007427D0">
        <w:t>so as to</w:t>
      </w:r>
      <w:proofErr w:type="gramEnd"/>
      <w:r w:rsidR="007427D0">
        <w:t xml:space="preserve"> impact outcomes</w:t>
      </w:r>
      <w:r w:rsidR="006F054B">
        <w:t>. As such, any analysis here is meant to be descriptive, not causal, with the appropriate caveats concerning selection effects.</w:t>
      </w:r>
    </w:p>
    <w:p w14:paraId="0D2B23AA" w14:textId="77777777" w:rsidR="00ED425B" w:rsidRDefault="00ED425B" w:rsidP="00ED425B">
      <w:pPr>
        <w:rPr>
          <w:b/>
          <w:bCs/>
          <w:i/>
          <w:iCs/>
        </w:rPr>
      </w:pPr>
    </w:p>
    <w:p w14:paraId="25394710" w14:textId="797BFDE7" w:rsidR="00B80D18" w:rsidRDefault="00ED425B" w:rsidP="00ED425B">
      <w:r>
        <w:t xml:space="preserve">The statistical analysis detailed below attempts to assess how case-specific, judge-specific, and patent-specific variables impact on </w:t>
      </w:r>
      <w:proofErr w:type="gramStart"/>
      <w:r>
        <w:t>whether or not</w:t>
      </w:r>
      <w:proofErr w:type="gramEnd"/>
      <w:r>
        <w:t xml:space="preserve"> the PTAB chooses to institute, and ultimately whether or not the patent is invalid. </w:t>
      </w:r>
    </w:p>
    <w:p w14:paraId="3122D6F1" w14:textId="209CA5BB" w:rsidR="00B80D18" w:rsidRDefault="00B80D18" w:rsidP="00B80D18">
      <w:pPr>
        <w:ind w:firstLine="0"/>
      </w:pPr>
    </w:p>
    <w:p w14:paraId="64E9593D" w14:textId="369684BC" w:rsidR="00B80D18" w:rsidRDefault="00B80D18" w:rsidP="00B80D18">
      <w:r>
        <w:t xml:space="preserve">Table 1 lists the logistic regression results for the decision on whether or not to institute. </w:t>
      </w:r>
      <w:r w:rsidR="00F44E5F">
        <w:t xml:space="preserve">Analysis was also done using a linear probability model to similar results. </w:t>
      </w:r>
      <w:r>
        <w:t xml:space="preserve">Model 1 show the results limited to just the presiding judge, the judge who authored the opinion and the judge seen as the most important judge on the panel. Standard errors are clustered in Model 1 by judge. Model 2 does the same regression, but on all judges. Model 2 clusters the standard errors by case, and adds another variable to demonstrate whether the judge </w:t>
      </w:r>
      <w:r>
        <w:lastRenderedPageBreak/>
        <w:t>was the presiding judge/author of the opinion.</w:t>
      </w:r>
      <w:r w:rsidR="00A1417E">
        <w:t xml:space="preserve"> Table 2 then turns to analyzing the results on the merits, that is, once a decision is instituted, what does the </w:t>
      </w:r>
      <w:proofErr w:type="gramStart"/>
      <w:r w:rsidR="00A1417E">
        <w:t>three judge</w:t>
      </w:r>
      <w:proofErr w:type="gramEnd"/>
      <w:r w:rsidR="00A1417E">
        <w:t xml:space="preserve"> panel decide ultimately on validity. Similar to the institution decision, the merits decision is analyzed both on the presider judge, with standard errors clustered by judge, as well as for all judges, with standard errors clustered by case. Two slightly different dependent variables were used in Table 2. Models 3 and </w:t>
      </w:r>
      <w:r w:rsidR="005A7914">
        <w:t>4</w:t>
      </w:r>
      <w:r w:rsidR="00A1417E">
        <w:t xml:space="preserve"> look on whether the panel held the patent invalid in whole or in part; as such, decisions in which the panel reached a mixed results (finding some claims invalid, some claims not invalid) were coded as 1 for invalid. Models </w:t>
      </w:r>
      <w:r w:rsidR="005A7914">
        <w:t>5</w:t>
      </w:r>
      <w:r w:rsidR="00A1417E">
        <w:t xml:space="preserve"> and 6 code mixed results as “not invalid” or “0.”</w:t>
      </w:r>
    </w:p>
    <w:p w14:paraId="67116C2C" w14:textId="3620B323" w:rsidR="00B80D18" w:rsidRDefault="00B80D18" w:rsidP="00B80D18">
      <w:pPr>
        <w:ind w:firstLine="0"/>
      </w:pPr>
    </w:p>
    <w:p w14:paraId="50F8BDAE" w14:textId="77777777" w:rsidR="00B80D18" w:rsidRDefault="00B80D18" w:rsidP="00B80D18">
      <w:r>
        <w:t>The independent variables are detailed below:</w:t>
      </w:r>
    </w:p>
    <w:p w14:paraId="7037D961" w14:textId="77777777" w:rsidR="00ED425B" w:rsidRDefault="00ED425B" w:rsidP="00D87DD8">
      <w:pPr>
        <w:ind w:firstLine="0"/>
      </w:pPr>
    </w:p>
    <w:p w14:paraId="299B4F75" w14:textId="59CB1BCC" w:rsidR="00ED425B" w:rsidRDefault="00ED425B" w:rsidP="00ED425B">
      <w:pPr>
        <w:ind w:firstLine="0"/>
      </w:pPr>
      <w:r w:rsidRPr="00F039FF">
        <w:rPr>
          <w:i/>
          <w:iCs/>
        </w:rPr>
        <w:t>Technology Class</w:t>
      </w:r>
      <w:r>
        <w:t>: As noted previously, the technology class of the patented invention may be one of the most important factors impacting the PTAB’s decision. For ease of analysis, biotechnology served as the “reference category” with other inventions labeled “chemical and materials engineering,” “computer science (which includes both architecture and networks),”</w:t>
      </w:r>
      <w:r w:rsidR="003177FA">
        <w:t xml:space="preserve"> </w:t>
      </w:r>
      <w:r>
        <w:t>“communications and information processing,” “semiconductors and electrical engineering,” “mechanical engineering,” and “transportation, construction, and electronic” inventions.</w:t>
      </w:r>
    </w:p>
    <w:p w14:paraId="464400AA" w14:textId="77777777" w:rsidR="00ED425B" w:rsidRDefault="00ED425B" w:rsidP="00ED425B">
      <w:pPr>
        <w:ind w:firstLine="0"/>
      </w:pPr>
    </w:p>
    <w:p w14:paraId="39DA4656" w14:textId="3EC4796C" w:rsidR="00ED425B" w:rsidRDefault="00ED425B" w:rsidP="00ED425B">
      <w:pPr>
        <w:ind w:firstLine="0"/>
      </w:pPr>
      <w:r w:rsidRPr="00F039FF">
        <w:rPr>
          <w:i/>
          <w:iCs/>
        </w:rPr>
        <w:t>Patentee and Petitioner Status</w:t>
      </w:r>
      <w:r>
        <w:t>: A dummy variable for whether the petitioner was a corporation (as opposed to an PAE or SME) was used. In addition, whether the patentee was an SME</w:t>
      </w:r>
      <w:r w:rsidR="00175056">
        <w:t xml:space="preserve"> patentee</w:t>
      </w:r>
      <w:r>
        <w:t xml:space="preserve"> as well as whether they were an PAE</w:t>
      </w:r>
      <w:r w:rsidR="00175056">
        <w:t xml:space="preserve"> patentee</w:t>
      </w:r>
      <w:r>
        <w:t xml:space="preserve"> was separately coded.</w:t>
      </w:r>
      <w:r w:rsidR="00175056">
        <w:t xml:space="preserve"> </w:t>
      </w:r>
    </w:p>
    <w:p w14:paraId="05C91D26" w14:textId="77777777" w:rsidR="00ED425B" w:rsidRDefault="00ED425B" w:rsidP="00ED425B">
      <w:pPr>
        <w:ind w:firstLine="0"/>
      </w:pPr>
    </w:p>
    <w:p w14:paraId="0F6FEE5C" w14:textId="77777777" w:rsidR="00ED425B" w:rsidRDefault="00ED425B" w:rsidP="00ED425B">
      <w:pPr>
        <w:ind w:firstLine="0"/>
      </w:pPr>
      <w:r w:rsidRPr="00F039FF">
        <w:rPr>
          <w:i/>
          <w:iCs/>
        </w:rPr>
        <w:t>Statutory Section Challenged</w:t>
      </w:r>
      <w:r>
        <w:t xml:space="preserve">: Whether the petition involved a section 102 anticipation challenge and/or whether the PTAB instituted on the basis of section 102 prior art was controlled for. Similarly, section 103 obviousness petitions and institutions </w:t>
      </w:r>
      <w:proofErr w:type="gramStart"/>
      <w:r>
        <w:t>was</w:t>
      </w:r>
      <w:proofErr w:type="gramEnd"/>
      <w:r>
        <w:t xml:space="preserve"> also controlled for. </w:t>
      </w:r>
    </w:p>
    <w:p w14:paraId="5417F1B3" w14:textId="77777777" w:rsidR="00ED425B" w:rsidRDefault="00ED425B" w:rsidP="00ED425B">
      <w:pPr>
        <w:ind w:firstLine="0"/>
      </w:pPr>
    </w:p>
    <w:p w14:paraId="35A0354C" w14:textId="77777777" w:rsidR="00ED425B" w:rsidRDefault="00ED425B" w:rsidP="00ED425B">
      <w:pPr>
        <w:ind w:firstLine="0"/>
      </w:pPr>
      <w:r w:rsidRPr="00F039FF">
        <w:rPr>
          <w:i/>
          <w:iCs/>
        </w:rPr>
        <w:t>Year</w:t>
      </w:r>
      <w:r>
        <w:t xml:space="preserve">: The PTAB was more active in its early years in granting institution and ruling patents invalid. As such, year effects were included with the year “2020” as the reference category. </w:t>
      </w:r>
    </w:p>
    <w:p w14:paraId="5E297335" w14:textId="77777777" w:rsidR="00ED425B" w:rsidRDefault="00ED425B" w:rsidP="00ED425B">
      <w:pPr>
        <w:ind w:firstLine="0"/>
      </w:pPr>
    </w:p>
    <w:p w14:paraId="7735A6D8" w14:textId="5EC38B85" w:rsidR="00ED425B" w:rsidRDefault="00ED425B" w:rsidP="00ED425B">
      <w:pPr>
        <w:ind w:firstLine="0"/>
      </w:pPr>
      <w:r w:rsidRPr="00F039FF">
        <w:rPr>
          <w:i/>
          <w:iCs/>
        </w:rPr>
        <w:t>Demographic Features of Presider Judge</w:t>
      </w:r>
      <w:r>
        <w:t xml:space="preserve">: Each PTAB case is generally heard in panels of three judges, with the presider judge being the most important. Each judge was coded for gender, minority status, as well as their employment background. Separate variables were used to code for whether the PTAB presider previously worked at a law firm, as a PTO examiner, as a PTAB lawyer, an inhouse attorney, </w:t>
      </w:r>
      <w:r w:rsidR="00651E64">
        <w:t>as a Federal Ci</w:t>
      </w:r>
      <w:r w:rsidR="00E23FA0">
        <w:t>r</w:t>
      </w:r>
      <w:r w:rsidR="00651E64">
        <w:t xml:space="preserve">cuit clerk, </w:t>
      </w:r>
      <w:r>
        <w:t xml:space="preserve">or as a scientist </w:t>
      </w:r>
      <w:r>
        <w:lastRenderedPageBreak/>
        <w:t xml:space="preserve">(such as a laboratory scientist or engineer) at any point in their career. Whether they had an advanced degree (a masters, </w:t>
      </w:r>
      <w:proofErr w:type="spellStart"/>
      <w:r>
        <w:t>Ph.d.</w:t>
      </w:r>
      <w:proofErr w:type="spellEnd"/>
      <w:r>
        <w:t>, or medical degree) was also noted. In addition, matches were made between the scientific degree of the judge and the technology of the invention in question.</w:t>
      </w:r>
      <w:r>
        <w:rPr>
          <w:rStyle w:val="FootnoteReference"/>
        </w:rPr>
        <w:footnoteReference w:id="116"/>
      </w:r>
      <w:r>
        <w:t xml:space="preserve"> In addition, the location of the judge – whether it be in Arlington, California, Texas, Michigan, or </w:t>
      </w:r>
      <w:proofErr w:type="gramStart"/>
      <w:r>
        <w:t>Colorado  –</w:t>
      </w:r>
      <w:proofErr w:type="gramEnd"/>
      <w:r>
        <w:t xml:space="preserve"> was also noted based on the PTO’s employment records located at federalpay.org up through 2018.</w:t>
      </w:r>
    </w:p>
    <w:p w14:paraId="604EB091" w14:textId="77777777" w:rsidR="00ED425B" w:rsidRDefault="00ED425B" w:rsidP="00ED425B">
      <w:pPr>
        <w:ind w:firstLine="0"/>
      </w:pPr>
    </w:p>
    <w:p w14:paraId="45D88D82" w14:textId="74550AB8" w:rsidR="00ED425B" w:rsidRDefault="00ED425B" w:rsidP="00ED425B">
      <w:pPr>
        <w:ind w:firstLine="0"/>
      </w:pPr>
      <w:r w:rsidRPr="00F039FF">
        <w:rPr>
          <w:i/>
          <w:iCs/>
        </w:rPr>
        <w:t>Panel Composition</w:t>
      </w:r>
      <w:r>
        <w:t>: For regressions on the merits</w:t>
      </w:r>
      <w:r w:rsidR="00D87DD8">
        <w:t xml:space="preserve"> on validity (Table 2)</w:t>
      </w:r>
      <w:r>
        <w:t xml:space="preserve">, I analyzed whether the panel changed between the institution phase and the merits phase. In total, 80% of panels remained the same between the two phases. In the remaining 20% of cases, however, at least one panel member was substituted at the merits phase. In addition, I analyzed whether the presider judge changed between the institution phase and the merits phase. In total, 7% of cases involved a new presider. In 3% of cases, the presider previously served at the institution phase as well, but in 4% of cases, the presider was newly added, having not heard the case at all at the institution phase. </w:t>
      </w:r>
      <w:r w:rsidR="00724B19">
        <w:t>For the regressions done on all judges, I coded for whether the particular judge was the presider/author judge.</w:t>
      </w:r>
    </w:p>
    <w:p w14:paraId="1FB97E1C" w14:textId="77777777" w:rsidR="00ED425B" w:rsidRDefault="00ED425B" w:rsidP="00ED425B">
      <w:pPr>
        <w:ind w:firstLine="0"/>
      </w:pPr>
    </w:p>
    <w:p w14:paraId="2A27AF65" w14:textId="51AA587F" w:rsidR="00ED425B" w:rsidRPr="00DF70F2" w:rsidRDefault="00ED425B" w:rsidP="00ED425B">
      <w:pPr>
        <w:ind w:firstLine="0"/>
        <w:rPr>
          <w:i/>
          <w:iCs/>
        </w:rPr>
      </w:pPr>
      <w:r w:rsidRPr="007427D0">
        <w:rPr>
          <w:i/>
          <w:iCs/>
        </w:rPr>
        <w:t>Patent-Specific Information</w:t>
      </w:r>
      <w:r>
        <w:t xml:space="preserve">: The word count of the first challenged claim was included as well since Love et al. found that “wordy” claims are more likely to survive IPR review. </w:t>
      </w:r>
      <w:r w:rsidR="00D87DD8">
        <w:t xml:space="preserve">In future drafts I plan to control for other patent-specific features such as controlling for </w:t>
      </w:r>
      <w:r w:rsidR="00DF70F2" w:rsidRPr="00DF70F2">
        <w:t>“complexity” by using the number of backward-citations.</w:t>
      </w:r>
    </w:p>
    <w:p w14:paraId="4F808A82" w14:textId="77777777" w:rsidR="00ED425B" w:rsidRDefault="00ED425B" w:rsidP="00ED425B">
      <w:pPr>
        <w:ind w:firstLine="0"/>
      </w:pPr>
    </w:p>
    <w:p w14:paraId="08DB5FC3" w14:textId="77777777" w:rsidR="00CF3732" w:rsidRDefault="00CF3732">
      <w:pPr>
        <w:widowControl/>
        <w:ind w:firstLine="0"/>
        <w:jc w:val="left"/>
        <w:rPr>
          <w:b/>
          <w:bCs/>
        </w:rPr>
      </w:pPr>
      <w:r>
        <w:rPr>
          <w:b/>
          <w:bCs/>
        </w:rPr>
        <w:br w:type="page"/>
      </w:r>
    </w:p>
    <w:p w14:paraId="679CC515" w14:textId="6AC4541A" w:rsidR="00DC4883" w:rsidRPr="00724B19" w:rsidRDefault="00DC4883" w:rsidP="00ED425B">
      <w:pPr>
        <w:ind w:firstLine="0"/>
        <w:rPr>
          <w:b/>
          <w:bCs/>
        </w:rPr>
      </w:pPr>
      <w:r w:rsidRPr="00724B19">
        <w:rPr>
          <w:b/>
          <w:bCs/>
        </w:rPr>
        <w:lastRenderedPageBreak/>
        <w:t xml:space="preserve">Table 1: Logistic Regression on Decision to Institute </w:t>
      </w:r>
    </w:p>
    <w:p w14:paraId="5EAA7C37" w14:textId="77777777" w:rsidR="00DC4883" w:rsidRDefault="00DC4883" w:rsidP="00ED425B">
      <w:pPr>
        <w:ind w:firstLine="0"/>
      </w:pPr>
    </w:p>
    <w:tbl>
      <w:tblPr>
        <w:tblW w:w="0" w:type="auto"/>
        <w:tblInd w:w="-118" w:type="dxa"/>
        <w:tblLayout w:type="fixed"/>
        <w:tblLook w:val="0000" w:firstRow="0" w:lastRow="0" w:firstColumn="0" w:lastColumn="0" w:noHBand="0" w:noVBand="0"/>
      </w:tblPr>
      <w:tblGrid>
        <w:gridCol w:w="2988"/>
        <w:gridCol w:w="2880"/>
        <w:gridCol w:w="2880"/>
      </w:tblGrid>
      <w:tr w:rsidR="00DC4883" w14:paraId="2B99DC04" w14:textId="77777777" w:rsidTr="00270E36">
        <w:tc>
          <w:tcPr>
            <w:tcW w:w="2988" w:type="dxa"/>
            <w:tcBorders>
              <w:bottom w:val="single" w:sz="4" w:space="0" w:color="auto"/>
            </w:tcBorders>
            <w:tcMar>
              <w:top w:w="100" w:type="nil"/>
              <w:right w:w="100" w:type="nil"/>
            </w:tcMar>
            <w:vAlign w:val="center"/>
          </w:tcPr>
          <w:p w14:paraId="769A9EF9" w14:textId="77777777" w:rsidR="00DC4883" w:rsidRDefault="00DC4883" w:rsidP="00270E36">
            <w:pPr>
              <w:autoSpaceDE w:val="0"/>
              <w:autoSpaceDN w:val="0"/>
              <w:adjustRightInd w:val="0"/>
              <w:rPr>
                <w:rFonts w:ascii="Times New Roman" w:hAnsi="Times New Roman"/>
              </w:rPr>
            </w:pPr>
          </w:p>
        </w:tc>
        <w:tc>
          <w:tcPr>
            <w:tcW w:w="2880" w:type="dxa"/>
            <w:tcBorders>
              <w:bottom w:val="single" w:sz="4" w:space="0" w:color="auto"/>
            </w:tcBorders>
            <w:tcMar>
              <w:top w:w="100" w:type="nil"/>
              <w:right w:w="100" w:type="nil"/>
            </w:tcMar>
            <w:vAlign w:val="center"/>
          </w:tcPr>
          <w:p w14:paraId="24D1AD72" w14:textId="77777777" w:rsidR="00DC4883" w:rsidRPr="00893B4E" w:rsidRDefault="00DC4883" w:rsidP="00270E36">
            <w:pPr>
              <w:autoSpaceDE w:val="0"/>
              <w:autoSpaceDN w:val="0"/>
              <w:adjustRightInd w:val="0"/>
              <w:jc w:val="center"/>
              <w:rPr>
                <w:rFonts w:ascii="Times New Roman" w:hAnsi="Times New Roman"/>
                <w:b/>
                <w:bCs/>
                <w:sz w:val="16"/>
                <w:szCs w:val="16"/>
              </w:rPr>
            </w:pPr>
            <w:r w:rsidRPr="00893B4E">
              <w:rPr>
                <w:rFonts w:ascii="Times New Roman" w:hAnsi="Times New Roman"/>
                <w:b/>
                <w:bCs/>
                <w:sz w:val="16"/>
                <w:szCs w:val="16"/>
              </w:rPr>
              <w:t>Model 1</w:t>
            </w:r>
          </w:p>
        </w:tc>
        <w:tc>
          <w:tcPr>
            <w:tcW w:w="2880" w:type="dxa"/>
            <w:tcBorders>
              <w:bottom w:val="single" w:sz="4" w:space="0" w:color="auto"/>
            </w:tcBorders>
            <w:tcMar>
              <w:top w:w="100" w:type="nil"/>
              <w:right w:w="100" w:type="nil"/>
            </w:tcMar>
            <w:vAlign w:val="center"/>
          </w:tcPr>
          <w:p w14:paraId="1AF7B2FA" w14:textId="77777777" w:rsidR="00DC4883" w:rsidRPr="00893B4E" w:rsidRDefault="00DC4883" w:rsidP="00270E36">
            <w:pPr>
              <w:autoSpaceDE w:val="0"/>
              <w:autoSpaceDN w:val="0"/>
              <w:adjustRightInd w:val="0"/>
              <w:jc w:val="center"/>
              <w:rPr>
                <w:rFonts w:ascii="Times New Roman" w:hAnsi="Times New Roman"/>
                <w:b/>
                <w:bCs/>
                <w:sz w:val="16"/>
                <w:szCs w:val="16"/>
              </w:rPr>
            </w:pPr>
            <w:r w:rsidRPr="00893B4E">
              <w:rPr>
                <w:rFonts w:ascii="Times New Roman" w:hAnsi="Times New Roman"/>
                <w:b/>
                <w:bCs/>
                <w:sz w:val="16"/>
                <w:szCs w:val="16"/>
              </w:rPr>
              <w:t>Model 2</w:t>
            </w:r>
          </w:p>
        </w:tc>
      </w:tr>
      <w:tr w:rsidR="00DC4883" w:rsidRPr="003D5C01" w14:paraId="6B7A3ABA" w14:textId="77777777" w:rsidTr="00270E36">
        <w:tc>
          <w:tcPr>
            <w:tcW w:w="2988" w:type="dxa"/>
            <w:tcBorders>
              <w:bottom w:val="single" w:sz="4" w:space="0" w:color="auto"/>
            </w:tcBorders>
            <w:tcMar>
              <w:top w:w="100" w:type="nil"/>
              <w:right w:w="100" w:type="nil"/>
            </w:tcMar>
            <w:vAlign w:val="center"/>
          </w:tcPr>
          <w:p w14:paraId="489A4BF6"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Borders>
              <w:bottom w:val="single" w:sz="4" w:space="0" w:color="auto"/>
            </w:tcBorders>
            <w:tcMar>
              <w:top w:w="100" w:type="nil"/>
              <w:right w:w="100" w:type="nil"/>
            </w:tcMar>
            <w:vAlign w:val="center"/>
          </w:tcPr>
          <w:p w14:paraId="6260F348" w14:textId="77777777" w:rsidR="00DC4883" w:rsidRPr="00664FF9" w:rsidRDefault="00DC4883" w:rsidP="00270E36">
            <w:pPr>
              <w:autoSpaceDE w:val="0"/>
              <w:autoSpaceDN w:val="0"/>
              <w:adjustRightInd w:val="0"/>
              <w:jc w:val="center"/>
              <w:rPr>
                <w:rFonts w:ascii="Times New Roman" w:hAnsi="Times New Roman"/>
                <w:b/>
                <w:bCs/>
                <w:sz w:val="16"/>
                <w:szCs w:val="16"/>
              </w:rPr>
            </w:pPr>
            <w:r w:rsidRPr="00664FF9">
              <w:rPr>
                <w:rFonts w:ascii="Times New Roman" w:hAnsi="Times New Roman"/>
                <w:b/>
                <w:bCs/>
                <w:sz w:val="16"/>
                <w:szCs w:val="16"/>
              </w:rPr>
              <w:t>(Presider)</w:t>
            </w:r>
          </w:p>
          <w:p w14:paraId="3C6205F8" w14:textId="77777777" w:rsidR="00DC4883" w:rsidRPr="00664FF9" w:rsidRDefault="00DC4883" w:rsidP="00270E36">
            <w:pPr>
              <w:autoSpaceDE w:val="0"/>
              <w:autoSpaceDN w:val="0"/>
              <w:adjustRightInd w:val="0"/>
              <w:jc w:val="center"/>
              <w:rPr>
                <w:rFonts w:ascii="Times New Roman" w:hAnsi="Times New Roman"/>
                <w:b/>
                <w:bCs/>
                <w:sz w:val="16"/>
                <w:szCs w:val="16"/>
              </w:rPr>
            </w:pPr>
            <w:r w:rsidRPr="00664FF9">
              <w:rPr>
                <w:rFonts w:ascii="Times New Roman" w:hAnsi="Times New Roman"/>
                <w:b/>
                <w:bCs/>
                <w:sz w:val="16"/>
                <w:szCs w:val="16"/>
              </w:rPr>
              <w:t>Institute</w:t>
            </w:r>
          </w:p>
        </w:tc>
        <w:tc>
          <w:tcPr>
            <w:tcW w:w="2880" w:type="dxa"/>
            <w:tcBorders>
              <w:bottom w:val="single" w:sz="4" w:space="0" w:color="auto"/>
            </w:tcBorders>
            <w:tcMar>
              <w:top w:w="100" w:type="nil"/>
              <w:right w:w="100" w:type="nil"/>
            </w:tcMar>
            <w:vAlign w:val="center"/>
          </w:tcPr>
          <w:p w14:paraId="178BDBC1" w14:textId="0B67B64B" w:rsidR="00DC4883" w:rsidRPr="00664FF9" w:rsidRDefault="00DC4883" w:rsidP="00270E36">
            <w:pPr>
              <w:autoSpaceDE w:val="0"/>
              <w:autoSpaceDN w:val="0"/>
              <w:adjustRightInd w:val="0"/>
              <w:jc w:val="center"/>
              <w:rPr>
                <w:rFonts w:ascii="Times New Roman" w:hAnsi="Times New Roman"/>
                <w:b/>
                <w:bCs/>
                <w:sz w:val="16"/>
                <w:szCs w:val="16"/>
              </w:rPr>
            </w:pPr>
            <w:r w:rsidRPr="00664FF9">
              <w:rPr>
                <w:rFonts w:ascii="Times New Roman" w:hAnsi="Times New Roman"/>
                <w:b/>
                <w:bCs/>
                <w:sz w:val="16"/>
                <w:szCs w:val="16"/>
              </w:rPr>
              <w:t>(All)</w:t>
            </w:r>
            <w:r w:rsidRPr="00664FF9">
              <w:rPr>
                <w:rFonts w:ascii="Times New Roman" w:hAnsi="Times New Roman"/>
                <w:b/>
                <w:bCs/>
                <w:sz w:val="16"/>
                <w:szCs w:val="16"/>
              </w:rPr>
              <w:br/>
            </w:r>
            <w:r>
              <w:rPr>
                <w:rFonts w:ascii="Times New Roman" w:hAnsi="Times New Roman"/>
                <w:b/>
                <w:bCs/>
                <w:sz w:val="16"/>
                <w:szCs w:val="16"/>
              </w:rPr>
              <w:t xml:space="preserve">        </w:t>
            </w:r>
            <w:r w:rsidRPr="00664FF9">
              <w:rPr>
                <w:rFonts w:ascii="Times New Roman" w:hAnsi="Times New Roman"/>
                <w:b/>
                <w:bCs/>
                <w:sz w:val="16"/>
                <w:szCs w:val="16"/>
              </w:rPr>
              <w:t>Institute</w:t>
            </w:r>
          </w:p>
        </w:tc>
      </w:tr>
      <w:tr w:rsidR="00DC4883" w:rsidRPr="003D5C01" w14:paraId="7FFB62E6" w14:textId="77777777" w:rsidTr="00270E36">
        <w:tc>
          <w:tcPr>
            <w:tcW w:w="2988" w:type="dxa"/>
            <w:tcBorders>
              <w:top w:val="single" w:sz="4" w:space="0" w:color="auto"/>
            </w:tcBorders>
            <w:tcMar>
              <w:top w:w="100" w:type="nil"/>
              <w:right w:w="100" w:type="nil"/>
            </w:tcMar>
            <w:vAlign w:val="center"/>
          </w:tcPr>
          <w:p w14:paraId="4B2BD393" w14:textId="77777777" w:rsidR="00DC4883" w:rsidRPr="003D5C01" w:rsidRDefault="00DC4883" w:rsidP="00270E36">
            <w:pPr>
              <w:autoSpaceDE w:val="0"/>
              <w:autoSpaceDN w:val="0"/>
              <w:adjustRightInd w:val="0"/>
              <w:rPr>
                <w:rFonts w:ascii="Times New Roman" w:hAnsi="Times New Roman"/>
                <w:b/>
                <w:bCs/>
                <w:i/>
                <w:iCs/>
                <w:sz w:val="16"/>
                <w:szCs w:val="16"/>
              </w:rPr>
            </w:pPr>
            <w:r w:rsidRPr="003D5C01">
              <w:rPr>
                <w:rFonts w:ascii="Times New Roman" w:hAnsi="Times New Roman"/>
                <w:b/>
                <w:bCs/>
                <w:i/>
                <w:iCs/>
                <w:sz w:val="16"/>
                <w:szCs w:val="16"/>
              </w:rPr>
              <w:t>Technology</w:t>
            </w:r>
          </w:p>
        </w:tc>
        <w:tc>
          <w:tcPr>
            <w:tcW w:w="2880" w:type="dxa"/>
            <w:tcBorders>
              <w:top w:val="single" w:sz="4" w:space="0" w:color="auto"/>
            </w:tcBorders>
            <w:tcMar>
              <w:top w:w="100" w:type="nil"/>
              <w:right w:w="100" w:type="nil"/>
            </w:tcMar>
            <w:vAlign w:val="center"/>
          </w:tcPr>
          <w:p w14:paraId="6B609EB8"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Borders>
              <w:top w:val="single" w:sz="4" w:space="0" w:color="auto"/>
            </w:tcBorders>
            <w:tcMar>
              <w:top w:w="100" w:type="nil"/>
              <w:right w:w="100" w:type="nil"/>
            </w:tcMar>
            <w:vAlign w:val="center"/>
          </w:tcPr>
          <w:p w14:paraId="74B5DD65"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024E4D79" w14:textId="77777777" w:rsidTr="00270E36">
        <w:tc>
          <w:tcPr>
            <w:tcW w:w="2988" w:type="dxa"/>
            <w:tcMar>
              <w:top w:w="100" w:type="nil"/>
              <w:right w:w="100" w:type="nil"/>
            </w:tcMar>
            <w:vAlign w:val="center"/>
          </w:tcPr>
          <w:p w14:paraId="6A0E1174"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Chem/Materials</w:t>
            </w:r>
          </w:p>
        </w:tc>
        <w:tc>
          <w:tcPr>
            <w:tcW w:w="2880" w:type="dxa"/>
            <w:tcMar>
              <w:top w:w="100" w:type="nil"/>
              <w:right w:w="100" w:type="nil"/>
            </w:tcMar>
            <w:vAlign w:val="center"/>
          </w:tcPr>
          <w:p w14:paraId="38C091BE"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0.0300</w:t>
            </w:r>
          </w:p>
        </w:tc>
        <w:tc>
          <w:tcPr>
            <w:tcW w:w="2880" w:type="dxa"/>
            <w:tcMar>
              <w:top w:w="100" w:type="nil"/>
              <w:right w:w="100" w:type="nil"/>
            </w:tcMar>
            <w:vAlign w:val="center"/>
          </w:tcPr>
          <w:p w14:paraId="4EA3F080"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-0.00416</w:t>
            </w:r>
          </w:p>
        </w:tc>
      </w:tr>
      <w:tr w:rsidR="00DC4883" w:rsidRPr="003D5C01" w14:paraId="29DB0515" w14:textId="77777777" w:rsidTr="00270E36">
        <w:tc>
          <w:tcPr>
            <w:tcW w:w="2988" w:type="dxa"/>
            <w:tcMar>
              <w:top w:w="100" w:type="nil"/>
              <w:right w:w="100" w:type="nil"/>
            </w:tcMar>
            <w:vAlign w:val="center"/>
          </w:tcPr>
          <w:p w14:paraId="10FECED0"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1A50A95B"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(0.178)</w:t>
            </w:r>
          </w:p>
        </w:tc>
        <w:tc>
          <w:tcPr>
            <w:tcW w:w="2880" w:type="dxa"/>
            <w:tcMar>
              <w:top w:w="100" w:type="nil"/>
              <w:right w:w="100" w:type="nil"/>
            </w:tcMar>
            <w:vAlign w:val="center"/>
          </w:tcPr>
          <w:p w14:paraId="237DBD7C"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(0.157)</w:t>
            </w:r>
          </w:p>
        </w:tc>
      </w:tr>
      <w:tr w:rsidR="00DC4883" w:rsidRPr="003D5C01" w14:paraId="28FBFA68" w14:textId="77777777" w:rsidTr="00270E36">
        <w:tc>
          <w:tcPr>
            <w:tcW w:w="2988" w:type="dxa"/>
            <w:tcMar>
              <w:top w:w="100" w:type="nil"/>
              <w:right w:w="100" w:type="nil"/>
            </w:tcMar>
            <w:vAlign w:val="center"/>
          </w:tcPr>
          <w:p w14:paraId="525EB199"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15D0128D"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6A646823"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04D202EF" w14:textId="77777777" w:rsidTr="00270E36">
        <w:tc>
          <w:tcPr>
            <w:tcW w:w="2988" w:type="dxa"/>
            <w:tcMar>
              <w:top w:w="100" w:type="nil"/>
              <w:right w:w="100" w:type="nil"/>
            </w:tcMar>
            <w:vAlign w:val="center"/>
          </w:tcPr>
          <w:p w14:paraId="65C22CA3"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Computer</w:t>
            </w:r>
          </w:p>
        </w:tc>
        <w:tc>
          <w:tcPr>
            <w:tcW w:w="2880" w:type="dxa"/>
            <w:tcMar>
              <w:top w:w="100" w:type="nil"/>
              <w:right w:w="100" w:type="nil"/>
            </w:tcMar>
            <w:vAlign w:val="center"/>
          </w:tcPr>
          <w:p w14:paraId="653766A5"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-0.0663</w:t>
            </w:r>
          </w:p>
        </w:tc>
        <w:tc>
          <w:tcPr>
            <w:tcW w:w="2880" w:type="dxa"/>
            <w:tcMar>
              <w:top w:w="100" w:type="nil"/>
              <w:right w:w="100" w:type="nil"/>
            </w:tcMar>
            <w:vAlign w:val="center"/>
          </w:tcPr>
          <w:p w14:paraId="1969A455"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-0.102</w:t>
            </w:r>
          </w:p>
        </w:tc>
      </w:tr>
      <w:tr w:rsidR="00DC4883" w:rsidRPr="003D5C01" w14:paraId="527A7DFB" w14:textId="77777777" w:rsidTr="00270E36">
        <w:tc>
          <w:tcPr>
            <w:tcW w:w="2988" w:type="dxa"/>
            <w:tcMar>
              <w:top w:w="100" w:type="nil"/>
              <w:right w:w="100" w:type="nil"/>
            </w:tcMar>
            <w:vAlign w:val="center"/>
          </w:tcPr>
          <w:p w14:paraId="07C74B31"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039C4B68"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(0.178)</w:t>
            </w:r>
          </w:p>
        </w:tc>
        <w:tc>
          <w:tcPr>
            <w:tcW w:w="2880" w:type="dxa"/>
            <w:tcMar>
              <w:top w:w="100" w:type="nil"/>
              <w:right w:w="100" w:type="nil"/>
            </w:tcMar>
            <w:vAlign w:val="center"/>
          </w:tcPr>
          <w:p w14:paraId="1E057587"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(0.141)</w:t>
            </w:r>
          </w:p>
        </w:tc>
      </w:tr>
      <w:tr w:rsidR="00DC4883" w:rsidRPr="003D5C01" w14:paraId="638A3B92" w14:textId="77777777" w:rsidTr="00270E36">
        <w:tc>
          <w:tcPr>
            <w:tcW w:w="2988" w:type="dxa"/>
            <w:tcMar>
              <w:top w:w="100" w:type="nil"/>
              <w:right w:w="100" w:type="nil"/>
            </w:tcMar>
            <w:vAlign w:val="center"/>
          </w:tcPr>
          <w:p w14:paraId="403FDA07"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6C9C2232"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3CD8C855"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600A356B" w14:textId="77777777" w:rsidTr="00270E36">
        <w:tc>
          <w:tcPr>
            <w:tcW w:w="2988" w:type="dxa"/>
            <w:tcMar>
              <w:top w:w="100" w:type="nil"/>
              <w:right w:w="100" w:type="nil"/>
            </w:tcMar>
            <w:vAlign w:val="center"/>
          </w:tcPr>
          <w:p w14:paraId="491C2FF2"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Commun.</w:t>
            </w:r>
          </w:p>
        </w:tc>
        <w:tc>
          <w:tcPr>
            <w:tcW w:w="2880" w:type="dxa"/>
            <w:tcMar>
              <w:top w:w="100" w:type="nil"/>
              <w:right w:w="100" w:type="nil"/>
            </w:tcMar>
            <w:vAlign w:val="center"/>
          </w:tcPr>
          <w:p w14:paraId="596843EF"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0.142</w:t>
            </w:r>
          </w:p>
        </w:tc>
        <w:tc>
          <w:tcPr>
            <w:tcW w:w="2880" w:type="dxa"/>
            <w:tcMar>
              <w:top w:w="100" w:type="nil"/>
              <w:right w:w="100" w:type="nil"/>
            </w:tcMar>
            <w:vAlign w:val="center"/>
          </w:tcPr>
          <w:p w14:paraId="10030CAE"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0.102</w:t>
            </w:r>
          </w:p>
        </w:tc>
      </w:tr>
      <w:tr w:rsidR="00DC4883" w:rsidRPr="003D5C01" w14:paraId="43A1D9A3" w14:textId="77777777" w:rsidTr="00270E36">
        <w:tc>
          <w:tcPr>
            <w:tcW w:w="2988" w:type="dxa"/>
            <w:tcMar>
              <w:top w:w="100" w:type="nil"/>
              <w:right w:w="100" w:type="nil"/>
            </w:tcMar>
            <w:vAlign w:val="center"/>
          </w:tcPr>
          <w:p w14:paraId="02B02B48"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3B7921BA"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(0.172)</w:t>
            </w:r>
          </w:p>
        </w:tc>
        <w:tc>
          <w:tcPr>
            <w:tcW w:w="2880" w:type="dxa"/>
            <w:tcMar>
              <w:top w:w="100" w:type="nil"/>
              <w:right w:w="100" w:type="nil"/>
            </w:tcMar>
            <w:vAlign w:val="center"/>
          </w:tcPr>
          <w:p w14:paraId="310FBBBC"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(0.142)</w:t>
            </w:r>
          </w:p>
        </w:tc>
      </w:tr>
      <w:tr w:rsidR="00DC4883" w:rsidRPr="003D5C01" w14:paraId="7E79C4EC" w14:textId="77777777" w:rsidTr="00270E36">
        <w:tc>
          <w:tcPr>
            <w:tcW w:w="2988" w:type="dxa"/>
            <w:tcMar>
              <w:top w:w="100" w:type="nil"/>
              <w:right w:w="100" w:type="nil"/>
            </w:tcMar>
            <w:vAlign w:val="center"/>
          </w:tcPr>
          <w:p w14:paraId="332720DA"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7F240E7A"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254C62DF"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2D59DF01" w14:textId="77777777" w:rsidTr="00270E36">
        <w:tc>
          <w:tcPr>
            <w:tcW w:w="2988" w:type="dxa"/>
            <w:tcMar>
              <w:top w:w="100" w:type="nil"/>
              <w:right w:w="100" w:type="nil"/>
            </w:tcMar>
            <w:vAlign w:val="center"/>
          </w:tcPr>
          <w:p w14:paraId="20848F9E" w14:textId="77777777" w:rsidR="00DC4883" w:rsidRPr="003D5C01" w:rsidRDefault="00DC4883" w:rsidP="00270E36">
            <w:pPr>
              <w:autoSpaceDE w:val="0"/>
              <w:autoSpaceDN w:val="0"/>
              <w:adjustRightInd w:val="0"/>
              <w:rPr>
                <w:rFonts w:ascii="Times New Roman" w:hAnsi="Times New Roman"/>
                <w:sz w:val="16"/>
                <w:szCs w:val="16"/>
              </w:rPr>
            </w:pPr>
            <w:proofErr w:type="spellStart"/>
            <w:r w:rsidRPr="003D5C01">
              <w:rPr>
                <w:rFonts w:ascii="Times New Roman" w:hAnsi="Times New Roman"/>
                <w:sz w:val="16"/>
                <w:szCs w:val="16"/>
              </w:rPr>
              <w:t>Semicond</w:t>
            </w:r>
            <w:proofErr w:type="spellEnd"/>
            <w:r w:rsidRPr="003D5C01">
              <w:rPr>
                <w:rFonts w:ascii="Times New Roman" w:hAnsi="Times New Roman"/>
                <w:sz w:val="16"/>
                <w:szCs w:val="16"/>
              </w:rPr>
              <w:t>.</w:t>
            </w:r>
          </w:p>
        </w:tc>
        <w:tc>
          <w:tcPr>
            <w:tcW w:w="2880" w:type="dxa"/>
            <w:tcMar>
              <w:top w:w="100" w:type="nil"/>
              <w:right w:w="100" w:type="nil"/>
            </w:tcMar>
            <w:vAlign w:val="center"/>
          </w:tcPr>
          <w:p w14:paraId="188659DF"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0.322</w:t>
            </w:r>
            <w:r w:rsidRPr="003D5C01">
              <w:rPr>
                <w:rFonts w:ascii="Times New Roman" w:hAnsi="Times New Roman"/>
                <w:sz w:val="16"/>
                <w:szCs w:val="16"/>
                <w:vertAlign w:val="superscript"/>
              </w:rPr>
              <w:t>*</w:t>
            </w:r>
          </w:p>
        </w:tc>
        <w:tc>
          <w:tcPr>
            <w:tcW w:w="2880" w:type="dxa"/>
            <w:tcMar>
              <w:top w:w="100" w:type="nil"/>
              <w:right w:w="100" w:type="nil"/>
            </w:tcMar>
            <w:vAlign w:val="center"/>
          </w:tcPr>
          <w:p w14:paraId="75327FB3"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0.326</w:t>
            </w:r>
            <w:r w:rsidRPr="003D5C01">
              <w:rPr>
                <w:rFonts w:ascii="Times New Roman" w:hAnsi="Times New Roman"/>
                <w:sz w:val="16"/>
                <w:szCs w:val="16"/>
                <w:vertAlign w:val="superscript"/>
              </w:rPr>
              <w:t>*</w:t>
            </w:r>
          </w:p>
        </w:tc>
      </w:tr>
      <w:tr w:rsidR="00DC4883" w:rsidRPr="003D5C01" w14:paraId="423F95AE" w14:textId="77777777" w:rsidTr="00270E36">
        <w:tc>
          <w:tcPr>
            <w:tcW w:w="2988" w:type="dxa"/>
            <w:tcMar>
              <w:top w:w="100" w:type="nil"/>
              <w:right w:w="100" w:type="nil"/>
            </w:tcMar>
            <w:vAlign w:val="center"/>
          </w:tcPr>
          <w:p w14:paraId="6BCCEF45"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300415F7"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(0.157)</w:t>
            </w:r>
          </w:p>
        </w:tc>
        <w:tc>
          <w:tcPr>
            <w:tcW w:w="2880" w:type="dxa"/>
            <w:tcMar>
              <w:top w:w="100" w:type="nil"/>
              <w:right w:w="100" w:type="nil"/>
            </w:tcMar>
            <w:vAlign w:val="center"/>
          </w:tcPr>
          <w:p w14:paraId="27CB6DCA"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(0.136)</w:t>
            </w:r>
          </w:p>
        </w:tc>
      </w:tr>
      <w:tr w:rsidR="00DC4883" w:rsidRPr="003D5C01" w14:paraId="6574CF20" w14:textId="77777777" w:rsidTr="00270E36">
        <w:tc>
          <w:tcPr>
            <w:tcW w:w="2988" w:type="dxa"/>
            <w:tcMar>
              <w:top w:w="100" w:type="nil"/>
              <w:right w:w="100" w:type="nil"/>
            </w:tcMar>
            <w:vAlign w:val="center"/>
          </w:tcPr>
          <w:p w14:paraId="1C5E1000"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5F989708"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7BE6EF3C"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75AD87E0" w14:textId="77777777" w:rsidTr="00270E36">
        <w:tc>
          <w:tcPr>
            <w:tcW w:w="2988" w:type="dxa"/>
            <w:tcMar>
              <w:top w:w="100" w:type="nil"/>
              <w:right w:w="100" w:type="nil"/>
            </w:tcMar>
            <w:vAlign w:val="center"/>
          </w:tcPr>
          <w:p w14:paraId="4D3AE20E"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Trans., Const.</w:t>
            </w:r>
          </w:p>
        </w:tc>
        <w:tc>
          <w:tcPr>
            <w:tcW w:w="2880" w:type="dxa"/>
            <w:tcMar>
              <w:top w:w="100" w:type="nil"/>
              <w:right w:w="100" w:type="nil"/>
            </w:tcMar>
            <w:vAlign w:val="center"/>
          </w:tcPr>
          <w:p w14:paraId="66FF0E59"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0.269</w:t>
            </w:r>
          </w:p>
        </w:tc>
        <w:tc>
          <w:tcPr>
            <w:tcW w:w="2880" w:type="dxa"/>
            <w:tcMar>
              <w:top w:w="100" w:type="nil"/>
              <w:right w:w="100" w:type="nil"/>
            </w:tcMar>
            <w:vAlign w:val="center"/>
          </w:tcPr>
          <w:p w14:paraId="61D64F50"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0.215</w:t>
            </w:r>
          </w:p>
        </w:tc>
      </w:tr>
      <w:tr w:rsidR="00DC4883" w:rsidRPr="003D5C01" w14:paraId="192D8838" w14:textId="77777777" w:rsidTr="00270E36">
        <w:tc>
          <w:tcPr>
            <w:tcW w:w="2988" w:type="dxa"/>
            <w:tcMar>
              <w:top w:w="100" w:type="nil"/>
              <w:right w:w="100" w:type="nil"/>
            </w:tcMar>
            <w:vAlign w:val="center"/>
          </w:tcPr>
          <w:p w14:paraId="1D429816"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1ED13346"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(0.184)</w:t>
            </w:r>
          </w:p>
        </w:tc>
        <w:tc>
          <w:tcPr>
            <w:tcW w:w="2880" w:type="dxa"/>
            <w:tcMar>
              <w:top w:w="100" w:type="nil"/>
              <w:right w:w="100" w:type="nil"/>
            </w:tcMar>
            <w:vAlign w:val="center"/>
          </w:tcPr>
          <w:p w14:paraId="5AA8CF82"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(0.157)</w:t>
            </w:r>
          </w:p>
        </w:tc>
      </w:tr>
      <w:tr w:rsidR="00DC4883" w:rsidRPr="003D5C01" w14:paraId="30210165" w14:textId="77777777" w:rsidTr="00270E36">
        <w:tc>
          <w:tcPr>
            <w:tcW w:w="2988" w:type="dxa"/>
            <w:tcMar>
              <w:top w:w="100" w:type="nil"/>
              <w:right w:w="100" w:type="nil"/>
            </w:tcMar>
            <w:vAlign w:val="center"/>
          </w:tcPr>
          <w:p w14:paraId="02CF8598"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6E44C300"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5EF9CC57"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35A4784F" w14:textId="77777777" w:rsidTr="00270E36">
        <w:tc>
          <w:tcPr>
            <w:tcW w:w="2988" w:type="dxa"/>
            <w:tcMar>
              <w:top w:w="100" w:type="nil"/>
              <w:right w:w="100" w:type="nil"/>
            </w:tcMar>
            <w:vAlign w:val="center"/>
          </w:tcPr>
          <w:p w14:paraId="7D3F46B8"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Mechanical</w:t>
            </w:r>
          </w:p>
        </w:tc>
        <w:tc>
          <w:tcPr>
            <w:tcW w:w="2880" w:type="dxa"/>
            <w:tcMar>
              <w:top w:w="100" w:type="nil"/>
              <w:right w:w="100" w:type="nil"/>
            </w:tcMar>
            <w:vAlign w:val="center"/>
          </w:tcPr>
          <w:p w14:paraId="7F890889"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0.391</w:t>
            </w:r>
            <w:r w:rsidRPr="003D5C01">
              <w:rPr>
                <w:rFonts w:ascii="Times New Roman" w:hAnsi="Times New Roman"/>
                <w:sz w:val="16"/>
                <w:szCs w:val="16"/>
                <w:vertAlign w:val="superscript"/>
              </w:rPr>
              <w:t>*</w:t>
            </w:r>
          </w:p>
        </w:tc>
        <w:tc>
          <w:tcPr>
            <w:tcW w:w="2880" w:type="dxa"/>
            <w:tcMar>
              <w:top w:w="100" w:type="nil"/>
              <w:right w:w="100" w:type="nil"/>
            </w:tcMar>
            <w:vAlign w:val="center"/>
          </w:tcPr>
          <w:p w14:paraId="47196E2C"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0.322</w:t>
            </w:r>
            <w:r w:rsidRPr="003D5C01">
              <w:rPr>
                <w:rFonts w:ascii="Times New Roman" w:hAnsi="Times New Roman"/>
                <w:sz w:val="16"/>
                <w:szCs w:val="16"/>
                <w:vertAlign w:val="superscript"/>
              </w:rPr>
              <w:t>*</w:t>
            </w:r>
          </w:p>
        </w:tc>
      </w:tr>
      <w:tr w:rsidR="00DC4883" w:rsidRPr="003D5C01" w14:paraId="6F6C17A3" w14:textId="77777777" w:rsidTr="00270E36">
        <w:tc>
          <w:tcPr>
            <w:tcW w:w="2988" w:type="dxa"/>
            <w:tcMar>
              <w:top w:w="100" w:type="nil"/>
              <w:right w:w="100" w:type="nil"/>
            </w:tcMar>
            <w:vAlign w:val="center"/>
          </w:tcPr>
          <w:p w14:paraId="01A83EE0"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2E80D87D"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(0.165)</w:t>
            </w:r>
          </w:p>
        </w:tc>
        <w:tc>
          <w:tcPr>
            <w:tcW w:w="2880" w:type="dxa"/>
            <w:tcMar>
              <w:top w:w="100" w:type="nil"/>
              <w:right w:w="100" w:type="nil"/>
            </w:tcMar>
            <w:vAlign w:val="center"/>
          </w:tcPr>
          <w:p w14:paraId="1FFE0755"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(0.146)</w:t>
            </w:r>
          </w:p>
        </w:tc>
      </w:tr>
      <w:tr w:rsidR="00DC4883" w:rsidRPr="003D5C01" w14:paraId="27CEEBE2" w14:textId="77777777" w:rsidTr="00270E36">
        <w:tc>
          <w:tcPr>
            <w:tcW w:w="2988" w:type="dxa"/>
            <w:tcMar>
              <w:top w:w="100" w:type="nil"/>
              <w:right w:w="100" w:type="nil"/>
            </w:tcMar>
            <w:vAlign w:val="center"/>
          </w:tcPr>
          <w:p w14:paraId="20D3C2EA"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76E93C15"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6CB2F0DB"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3FC0DC5A" w14:textId="77777777" w:rsidTr="00270E36">
        <w:tc>
          <w:tcPr>
            <w:tcW w:w="2988" w:type="dxa"/>
            <w:tcMar>
              <w:top w:w="100" w:type="nil"/>
              <w:right w:w="100" w:type="nil"/>
            </w:tcMar>
            <w:vAlign w:val="center"/>
          </w:tcPr>
          <w:p w14:paraId="483C0D59" w14:textId="77777777" w:rsidR="00DC4883" w:rsidRPr="003D5C01" w:rsidRDefault="00DC4883" w:rsidP="00270E36">
            <w:pPr>
              <w:autoSpaceDE w:val="0"/>
              <w:autoSpaceDN w:val="0"/>
              <w:adjustRightInd w:val="0"/>
              <w:rPr>
                <w:rFonts w:ascii="Times New Roman" w:hAnsi="Times New Roman"/>
                <w:b/>
                <w:bCs/>
                <w:i/>
                <w:iCs/>
                <w:sz w:val="16"/>
                <w:szCs w:val="16"/>
              </w:rPr>
            </w:pPr>
            <w:r w:rsidRPr="003D5C01">
              <w:rPr>
                <w:rFonts w:ascii="Times New Roman" w:hAnsi="Times New Roman"/>
                <w:b/>
                <w:bCs/>
                <w:i/>
                <w:iCs/>
                <w:sz w:val="16"/>
                <w:szCs w:val="16"/>
              </w:rPr>
              <w:t>Parties</w:t>
            </w:r>
          </w:p>
        </w:tc>
        <w:tc>
          <w:tcPr>
            <w:tcW w:w="2880" w:type="dxa"/>
            <w:tcMar>
              <w:top w:w="100" w:type="nil"/>
              <w:right w:w="100" w:type="nil"/>
            </w:tcMar>
            <w:vAlign w:val="center"/>
          </w:tcPr>
          <w:p w14:paraId="42D8FDC7"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198C8B18"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5B9BF817" w14:textId="77777777" w:rsidTr="00270E36">
        <w:tc>
          <w:tcPr>
            <w:tcW w:w="2988" w:type="dxa"/>
            <w:tcMar>
              <w:top w:w="100" w:type="nil"/>
              <w:right w:w="100" w:type="nil"/>
            </w:tcMar>
            <w:vAlign w:val="center"/>
          </w:tcPr>
          <w:p w14:paraId="64D25138"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Corp Pet.</w:t>
            </w:r>
          </w:p>
        </w:tc>
        <w:tc>
          <w:tcPr>
            <w:tcW w:w="2880" w:type="dxa"/>
            <w:tcMar>
              <w:top w:w="100" w:type="nil"/>
              <w:right w:w="100" w:type="nil"/>
            </w:tcMar>
            <w:vAlign w:val="center"/>
          </w:tcPr>
          <w:p w14:paraId="7382BA17"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0.362</w:t>
            </w:r>
            <w:r w:rsidRPr="003D5C01">
              <w:rPr>
                <w:rFonts w:ascii="Times New Roman" w:hAnsi="Times New Roman"/>
                <w:sz w:val="16"/>
                <w:szCs w:val="16"/>
                <w:vertAlign w:val="superscript"/>
              </w:rPr>
              <w:t>***</w:t>
            </w:r>
          </w:p>
        </w:tc>
        <w:tc>
          <w:tcPr>
            <w:tcW w:w="2880" w:type="dxa"/>
            <w:tcMar>
              <w:top w:w="100" w:type="nil"/>
              <w:right w:w="100" w:type="nil"/>
            </w:tcMar>
            <w:vAlign w:val="center"/>
          </w:tcPr>
          <w:p w14:paraId="792A0202"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0.339</w:t>
            </w:r>
            <w:r w:rsidRPr="003D5C01">
              <w:rPr>
                <w:rFonts w:ascii="Times New Roman" w:hAnsi="Times New Roman"/>
                <w:sz w:val="16"/>
                <w:szCs w:val="16"/>
                <w:vertAlign w:val="superscript"/>
              </w:rPr>
              <w:t>***</w:t>
            </w:r>
          </w:p>
        </w:tc>
      </w:tr>
      <w:tr w:rsidR="00DC4883" w:rsidRPr="003D5C01" w14:paraId="39257638" w14:textId="77777777" w:rsidTr="00270E36">
        <w:tc>
          <w:tcPr>
            <w:tcW w:w="2988" w:type="dxa"/>
            <w:tcMar>
              <w:top w:w="100" w:type="nil"/>
              <w:right w:w="100" w:type="nil"/>
            </w:tcMar>
            <w:vAlign w:val="center"/>
          </w:tcPr>
          <w:p w14:paraId="098983D1"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7B92AD42"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(0.0942)</w:t>
            </w:r>
          </w:p>
        </w:tc>
        <w:tc>
          <w:tcPr>
            <w:tcW w:w="2880" w:type="dxa"/>
            <w:tcMar>
              <w:top w:w="100" w:type="nil"/>
              <w:right w:w="100" w:type="nil"/>
            </w:tcMar>
            <w:vAlign w:val="center"/>
          </w:tcPr>
          <w:p w14:paraId="450DAFFE"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(0.0813)</w:t>
            </w:r>
          </w:p>
        </w:tc>
      </w:tr>
      <w:tr w:rsidR="00DC4883" w:rsidRPr="003D5C01" w14:paraId="659B984B" w14:textId="77777777" w:rsidTr="00270E36">
        <w:tc>
          <w:tcPr>
            <w:tcW w:w="2988" w:type="dxa"/>
            <w:tcMar>
              <w:top w:w="100" w:type="nil"/>
              <w:right w:w="100" w:type="nil"/>
            </w:tcMar>
            <w:vAlign w:val="center"/>
          </w:tcPr>
          <w:p w14:paraId="6D351F1A"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29F723B4"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09218297"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0947992C" w14:textId="77777777" w:rsidTr="00270E36">
        <w:tc>
          <w:tcPr>
            <w:tcW w:w="2988" w:type="dxa"/>
            <w:tcMar>
              <w:top w:w="100" w:type="nil"/>
              <w:right w:w="100" w:type="nil"/>
            </w:tcMar>
            <w:vAlign w:val="center"/>
          </w:tcPr>
          <w:p w14:paraId="1D2E735A"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PAE Patentee</w:t>
            </w:r>
          </w:p>
        </w:tc>
        <w:tc>
          <w:tcPr>
            <w:tcW w:w="2880" w:type="dxa"/>
            <w:tcMar>
              <w:top w:w="100" w:type="nil"/>
              <w:right w:w="100" w:type="nil"/>
            </w:tcMar>
            <w:vAlign w:val="center"/>
          </w:tcPr>
          <w:p w14:paraId="1A0C1213"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0.400</w:t>
            </w:r>
            <w:r w:rsidRPr="003D5C01">
              <w:rPr>
                <w:rFonts w:ascii="Times New Roman" w:hAnsi="Times New Roman"/>
                <w:sz w:val="16"/>
                <w:szCs w:val="16"/>
                <w:vertAlign w:val="superscript"/>
              </w:rPr>
              <w:t>***</w:t>
            </w:r>
          </w:p>
        </w:tc>
        <w:tc>
          <w:tcPr>
            <w:tcW w:w="2880" w:type="dxa"/>
            <w:tcMar>
              <w:top w:w="100" w:type="nil"/>
              <w:right w:w="100" w:type="nil"/>
            </w:tcMar>
            <w:vAlign w:val="center"/>
          </w:tcPr>
          <w:p w14:paraId="5C1E163A"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0.409</w:t>
            </w:r>
            <w:r w:rsidRPr="003D5C01">
              <w:rPr>
                <w:rFonts w:ascii="Times New Roman" w:hAnsi="Times New Roman"/>
                <w:sz w:val="16"/>
                <w:szCs w:val="16"/>
                <w:vertAlign w:val="superscript"/>
              </w:rPr>
              <w:t>***</w:t>
            </w:r>
          </w:p>
        </w:tc>
      </w:tr>
      <w:tr w:rsidR="00DC4883" w:rsidRPr="003D5C01" w14:paraId="03C762FF" w14:textId="77777777" w:rsidTr="00270E36">
        <w:tc>
          <w:tcPr>
            <w:tcW w:w="2988" w:type="dxa"/>
            <w:tcMar>
              <w:top w:w="100" w:type="nil"/>
              <w:right w:w="100" w:type="nil"/>
            </w:tcMar>
            <w:vAlign w:val="center"/>
          </w:tcPr>
          <w:p w14:paraId="1ACBE841"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1B99D317"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(0.102)</w:t>
            </w:r>
          </w:p>
        </w:tc>
        <w:tc>
          <w:tcPr>
            <w:tcW w:w="2880" w:type="dxa"/>
            <w:tcMar>
              <w:top w:w="100" w:type="nil"/>
              <w:right w:w="100" w:type="nil"/>
            </w:tcMar>
            <w:vAlign w:val="center"/>
          </w:tcPr>
          <w:p w14:paraId="7743EC26"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(0.0762)</w:t>
            </w:r>
          </w:p>
        </w:tc>
      </w:tr>
      <w:tr w:rsidR="00DC4883" w:rsidRPr="003D5C01" w14:paraId="164C4117" w14:textId="77777777" w:rsidTr="00270E36">
        <w:tc>
          <w:tcPr>
            <w:tcW w:w="2988" w:type="dxa"/>
            <w:tcMar>
              <w:top w:w="100" w:type="nil"/>
              <w:right w:w="100" w:type="nil"/>
            </w:tcMar>
            <w:vAlign w:val="center"/>
          </w:tcPr>
          <w:p w14:paraId="132D876A"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54B09884"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15D7E3D6"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12A2AF68" w14:textId="77777777" w:rsidTr="00270E36">
        <w:tc>
          <w:tcPr>
            <w:tcW w:w="2988" w:type="dxa"/>
            <w:tcMar>
              <w:top w:w="100" w:type="nil"/>
              <w:right w:w="100" w:type="nil"/>
            </w:tcMar>
            <w:vAlign w:val="center"/>
          </w:tcPr>
          <w:p w14:paraId="0669D99D"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SME Patentee</w:t>
            </w:r>
          </w:p>
        </w:tc>
        <w:tc>
          <w:tcPr>
            <w:tcW w:w="2880" w:type="dxa"/>
            <w:tcMar>
              <w:top w:w="100" w:type="nil"/>
              <w:right w:w="100" w:type="nil"/>
            </w:tcMar>
            <w:vAlign w:val="center"/>
          </w:tcPr>
          <w:p w14:paraId="25CE0FBD"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0.454</w:t>
            </w:r>
            <w:r w:rsidRPr="003D5C01">
              <w:rPr>
                <w:rFonts w:ascii="Times New Roman" w:hAnsi="Times New Roman"/>
                <w:sz w:val="16"/>
                <w:szCs w:val="16"/>
                <w:vertAlign w:val="superscript"/>
              </w:rPr>
              <w:t>**</w:t>
            </w:r>
          </w:p>
        </w:tc>
        <w:tc>
          <w:tcPr>
            <w:tcW w:w="2880" w:type="dxa"/>
            <w:tcMar>
              <w:top w:w="100" w:type="nil"/>
              <w:right w:w="100" w:type="nil"/>
            </w:tcMar>
            <w:vAlign w:val="center"/>
          </w:tcPr>
          <w:p w14:paraId="6D3E85DF"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0.487</w:t>
            </w:r>
            <w:r w:rsidRPr="003D5C01">
              <w:rPr>
                <w:rFonts w:ascii="Times New Roman" w:hAnsi="Times New Roman"/>
                <w:sz w:val="16"/>
                <w:szCs w:val="16"/>
                <w:vertAlign w:val="superscript"/>
              </w:rPr>
              <w:t>***</w:t>
            </w:r>
          </w:p>
        </w:tc>
      </w:tr>
      <w:tr w:rsidR="00DC4883" w:rsidRPr="003D5C01" w14:paraId="2DDA3C94" w14:textId="77777777" w:rsidTr="00270E36">
        <w:tc>
          <w:tcPr>
            <w:tcW w:w="2988" w:type="dxa"/>
            <w:tcMar>
              <w:top w:w="100" w:type="nil"/>
              <w:right w:w="100" w:type="nil"/>
            </w:tcMar>
            <w:vAlign w:val="center"/>
          </w:tcPr>
          <w:p w14:paraId="062FD1C5"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738F33C0"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(0.153)</w:t>
            </w:r>
          </w:p>
        </w:tc>
        <w:tc>
          <w:tcPr>
            <w:tcW w:w="2880" w:type="dxa"/>
            <w:tcMar>
              <w:top w:w="100" w:type="nil"/>
              <w:right w:w="100" w:type="nil"/>
            </w:tcMar>
            <w:vAlign w:val="center"/>
          </w:tcPr>
          <w:p w14:paraId="57C14E00"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(0.111)</w:t>
            </w:r>
          </w:p>
        </w:tc>
      </w:tr>
      <w:tr w:rsidR="00DC4883" w:rsidRPr="003D5C01" w14:paraId="4DE3E2F4" w14:textId="77777777" w:rsidTr="00270E36">
        <w:tc>
          <w:tcPr>
            <w:tcW w:w="2988" w:type="dxa"/>
            <w:tcMar>
              <w:top w:w="100" w:type="nil"/>
              <w:right w:w="100" w:type="nil"/>
            </w:tcMar>
            <w:vAlign w:val="center"/>
          </w:tcPr>
          <w:p w14:paraId="2852C6CB"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0AA12919"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63B26545"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350FDC45" w14:textId="77777777" w:rsidTr="00270E36">
        <w:tc>
          <w:tcPr>
            <w:tcW w:w="2988" w:type="dxa"/>
            <w:tcMar>
              <w:top w:w="100" w:type="nil"/>
              <w:right w:w="100" w:type="nil"/>
            </w:tcMar>
            <w:vAlign w:val="center"/>
          </w:tcPr>
          <w:p w14:paraId="3A869125" w14:textId="77777777" w:rsidR="00DC4883" w:rsidRPr="003D5C01" w:rsidRDefault="00DC4883" w:rsidP="00270E36">
            <w:pPr>
              <w:autoSpaceDE w:val="0"/>
              <w:autoSpaceDN w:val="0"/>
              <w:adjustRightInd w:val="0"/>
              <w:rPr>
                <w:rFonts w:ascii="Times New Roman" w:hAnsi="Times New Roman"/>
                <w:b/>
                <w:bCs/>
                <w:i/>
                <w:iCs/>
                <w:sz w:val="16"/>
                <w:szCs w:val="16"/>
              </w:rPr>
            </w:pPr>
            <w:r w:rsidRPr="003D5C01">
              <w:rPr>
                <w:rFonts w:ascii="Times New Roman" w:hAnsi="Times New Roman"/>
                <w:b/>
                <w:bCs/>
                <w:i/>
                <w:iCs/>
                <w:sz w:val="16"/>
                <w:szCs w:val="16"/>
              </w:rPr>
              <w:t>Substantive</w:t>
            </w:r>
          </w:p>
        </w:tc>
        <w:tc>
          <w:tcPr>
            <w:tcW w:w="2880" w:type="dxa"/>
            <w:tcMar>
              <w:top w:w="100" w:type="nil"/>
              <w:right w:w="100" w:type="nil"/>
            </w:tcMar>
            <w:vAlign w:val="center"/>
          </w:tcPr>
          <w:p w14:paraId="577AFE80" w14:textId="77777777" w:rsidR="00DC4883" w:rsidRPr="003D5C01" w:rsidRDefault="00DC4883" w:rsidP="00270E36">
            <w:pPr>
              <w:autoSpaceDE w:val="0"/>
              <w:autoSpaceDN w:val="0"/>
              <w:adjustRightInd w:val="0"/>
              <w:jc w:val="center"/>
              <w:rPr>
                <w:rFonts w:ascii="Times New Roman" w:hAnsi="Times New Roman"/>
                <w:sz w:val="16"/>
                <w:szCs w:val="16"/>
              </w:rPr>
            </w:pPr>
          </w:p>
        </w:tc>
        <w:tc>
          <w:tcPr>
            <w:tcW w:w="2880" w:type="dxa"/>
            <w:tcMar>
              <w:top w:w="100" w:type="nil"/>
              <w:right w:w="100" w:type="nil"/>
            </w:tcMar>
            <w:vAlign w:val="center"/>
          </w:tcPr>
          <w:p w14:paraId="248247F9" w14:textId="77777777" w:rsidR="00DC4883" w:rsidRPr="003D5C01" w:rsidRDefault="00DC4883" w:rsidP="00270E36">
            <w:pPr>
              <w:autoSpaceDE w:val="0"/>
              <w:autoSpaceDN w:val="0"/>
              <w:adjustRightInd w:val="0"/>
              <w:jc w:val="center"/>
              <w:rPr>
                <w:rFonts w:ascii="Times New Roman" w:hAnsi="Times New Roman"/>
                <w:sz w:val="16"/>
                <w:szCs w:val="16"/>
              </w:rPr>
            </w:pPr>
          </w:p>
        </w:tc>
      </w:tr>
      <w:tr w:rsidR="00DC4883" w:rsidRPr="003D5C01" w14:paraId="27B42880" w14:textId="77777777" w:rsidTr="00270E36">
        <w:tc>
          <w:tcPr>
            <w:tcW w:w="2988" w:type="dxa"/>
            <w:tcMar>
              <w:top w:w="100" w:type="nil"/>
              <w:right w:w="100" w:type="nil"/>
            </w:tcMar>
            <w:vAlign w:val="center"/>
          </w:tcPr>
          <w:p w14:paraId="3C82217A"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Petition 102</w:t>
            </w:r>
          </w:p>
        </w:tc>
        <w:tc>
          <w:tcPr>
            <w:tcW w:w="2880" w:type="dxa"/>
            <w:tcMar>
              <w:top w:w="100" w:type="nil"/>
              <w:right w:w="100" w:type="nil"/>
            </w:tcMar>
            <w:vAlign w:val="center"/>
          </w:tcPr>
          <w:p w14:paraId="674B1A10"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0.297</w:t>
            </w:r>
            <w:r w:rsidRPr="003D5C01">
              <w:rPr>
                <w:rFonts w:ascii="Times New Roman" w:hAnsi="Times New Roman"/>
                <w:sz w:val="16"/>
                <w:szCs w:val="16"/>
                <w:vertAlign w:val="superscript"/>
              </w:rPr>
              <w:t>***</w:t>
            </w:r>
          </w:p>
        </w:tc>
        <w:tc>
          <w:tcPr>
            <w:tcW w:w="2880" w:type="dxa"/>
            <w:tcMar>
              <w:top w:w="100" w:type="nil"/>
              <w:right w:w="100" w:type="nil"/>
            </w:tcMar>
            <w:vAlign w:val="center"/>
          </w:tcPr>
          <w:p w14:paraId="4733C25C"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0.226</w:t>
            </w:r>
            <w:r w:rsidRPr="003D5C01">
              <w:rPr>
                <w:rFonts w:ascii="Times New Roman" w:hAnsi="Times New Roman"/>
                <w:sz w:val="16"/>
                <w:szCs w:val="16"/>
                <w:vertAlign w:val="superscript"/>
              </w:rPr>
              <w:t>***</w:t>
            </w:r>
          </w:p>
        </w:tc>
      </w:tr>
      <w:tr w:rsidR="00DC4883" w:rsidRPr="003D5C01" w14:paraId="764458BE" w14:textId="77777777" w:rsidTr="00270E36">
        <w:tc>
          <w:tcPr>
            <w:tcW w:w="2988" w:type="dxa"/>
            <w:tcMar>
              <w:top w:w="100" w:type="nil"/>
              <w:right w:w="100" w:type="nil"/>
            </w:tcMar>
            <w:vAlign w:val="center"/>
          </w:tcPr>
          <w:p w14:paraId="4582919D"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3D190914"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(0.0671)</w:t>
            </w:r>
          </w:p>
        </w:tc>
        <w:tc>
          <w:tcPr>
            <w:tcW w:w="2880" w:type="dxa"/>
            <w:tcMar>
              <w:top w:w="100" w:type="nil"/>
              <w:right w:w="100" w:type="nil"/>
            </w:tcMar>
            <w:vAlign w:val="center"/>
          </w:tcPr>
          <w:p w14:paraId="047E2454"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(0.0664)</w:t>
            </w:r>
          </w:p>
        </w:tc>
      </w:tr>
      <w:tr w:rsidR="00DC4883" w:rsidRPr="003D5C01" w14:paraId="6EBB593C" w14:textId="77777777" w:rsidTr="00270E36">
        <w:tc>
          <w:tcPr>
            <w:tcW w:w="2988" w:type="dxa"/>
            <w:tcMar>
              <w:top w:w="100" w:type="nil"/>
              <w:right w:w="100" w:type="nil"/>
            </w:tcMar>
            <w:vAlign w:val="center"/>
          </w:tcPr>
          <w:p w14:paraId="370D7400"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1A27EAF6"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086D935F"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443F5B52" w14:textId="77777777" w:rsidTr="00270E36">
        <w:tc>
          <w:tcPr>
            <w:tcW w:w="2988" w:type="dxa"/>
            <w:tcMar>
              <w:top w:w="100" w:type="nil"/>
              <w:right w:w="100" w:type="nil"/>
            </w:tcMar>
            <w:vAlign w:val="center"/>
          </w:tcPr>
          <w:p w14:paraId="245B35B4"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Petition 103</w:t>
            </w:r>
          </w:p>
        </w:tc>
        <w:tc>
          <w:tcPr>
            <w:tcW w:w="2880" w:type="dxa"/>
            <w:tcMar>
              <w:top w:w="100" w:type="nil"/>
              <w:right w:w="100" w:type="nil"/>
            </w:tcMar>
            <w:vAlign w:val="center"/>
          </w:tcPr>
          <w:p w14:paraId="5A280B3D"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0.304</w:t>
            </w:r>
          </w:p>
        </w:tc>
        <w:tc>
          <w:tcPr>
            <w:tcW w:w="2880" w:type="dxa"/>
            <w:tcMar>
              <w:top w:w="100" w:type="nil"/>
              <w:right w:w="100" w:type="nil"/>
            </w:tcMar>
            <w:vAlign w:val="center"/>
          </w:tcPr>
          <w:p w14:paraId="4D43FCA0"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0.277</w:t>
            </w:r>
          </w:p>
        </w:tc>
      </w:tr>
      <w:tr w:rsidR="00DC4883" w:rsidRPr="003D5C01" w14:paraId="5F19DF9F" w14:textId="77777777" w:rsidTr="00270E36">
        <w:tc>
          <w:tcPr>
            <w:tcW w:w="2988" w:type="dxa"/>
            <w:tcMar>
              <w:top w:w="100" w:type="nil"/>
              <w:right w:w="100" w:type="nil"/>
            </w:tcMar>
            <w:vAlign w:val="center"/>
          </w:tcPr>
          <w:p w14:paraId="4D9F206C"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6CAB9B95"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(0.438)</w:t>
            </w:r>
          </w:p>
        </w:tc>
        <w:tc>
          <w:tcPr>
            <w:tcW w:w="2880" w:type="dxa"/>
            <w:tcMar>
              <w:top w:w="100" w:type="nil"/>
              <w:right w:w="100" w:type="nil"/>
            </w:tcMar>
            <w:vAlign w:val="center"/>
          </w:tcPr>
          <w:p w14:paraId="0E7CA6DB"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(0.381)</w:t>
            </w:r>
          </w:p>
        </w:tc>
      </w:tr>
      <w:tr w:rsidR="00DC4883" w:rsidRPr="003D5C01" w14:paraId="3F826DE8" w14:textId="77777777" w:rsidTr="00270E36">
        <w:tc>
          <w:tcPr>
            <w:tcW w:w="2988" w:type="dxa"/>
            <w:tcMar>
              <w:top w:w="100" w:type="nil"/>
              <w:right w:w="100" w:type="nil"/>
            </w:tcMar>
            <w:vAlign w:val="center"/>
          </w:tcPr>
          <w:p w14:paraId="7EA4BC36"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10D56193"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650D04EA"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41D62607" w14:textId="77777777" w:rsidTr="00270E36">
        <w:tc>
          <w:tcPr>
            <w:tcW w:w="2988" w:type="dxa"/>
            <w:tcMar>
              <w:top w:w="100" w:type="nil"/>
              <w:right w:w="100" w:type="nil"/>
            </w:tcMar>
            <w:vAlign w:val="center"/>
          </w:tcPr>
          <w:p w14:paraId="09BF4283" w14:textId="77777777" w:rsidR="00DC4883" w:rsidRPr="003D5C01" w:rsidRDefault="00DC4883" w:rsidP="00270E36">
            <w:pPr>
              <w:autoSpaceDE w:val="0"/>
              <w:autoSpaceDN w:val="0"/>
              <w:adjustRightInd w:val="0"/>
              <w:rPr>
                <w:rFonts w:ascii="Times New Roman" w:hAnsi="Times New Roman"/>
                <w:b/>
                <w:bCs/>
                <w:i/>
                <w:iCs/>
                <w:sz w:val="16"/>
                <w:szCs w:val="16"/>
              </w:rPr>
            </w:pPr>
            <w:r w:rsidRPr="003D5C01">
              <w:rPr>
                <w:rFonts w:ascii="Times New Roman" w:hAnsi="Times New Roman"/>
                <w:b/>
                <w:bCs/>
                <w:i/>
                <w:iCs/>
                <w:sz w:val="16"/>
                <w:szCs w:val="16"/>
              </w:rPr>
              <w:t>Judge Demos</w:t>
            </w:r>
          </w:p>
        </w:tc>
        <w:tc>
          <w:tcPr>
            <w:tcW w:w="2880" w:type="dxa"/>
            <w:tcMar>
              <w:top w:w="100" w:type="nil"/>
              <w:right w:w="100" w:type="nil"/>
            </w:tcMar>
            <w:vAlign w:val="center"/>
          </w:tcPr>
          <w:p w14:paraId="09675E48" w14:textId="77777777" w:rsidR="00DC4883" w:rsidRPr="003D5C01" w:rsidRDefault="00DC4883" w:rsidP="00270E36">
            <w:pPr>
              <w:autoSpaceDE w:val="0"/>
              <w:autoSpaceDN w:val="0"/>
              <w:adjustRightInd w:val="0"/>
              <w:jc w:val="center"/>
              <w:rPr>
                <w:rFonts w:ascii="Times New Roman" w:hAnsi="Times New Roman"/>
                <w:sz w:val="16"/>
                <w:szCs w:val="16"/>
              </w:rPr>
            </w:pPr>
          </w:p>
        </w:tc>
        <w:tc>
          <w:tcPr>
            <w:tcW w:w="2880" w:type="dxa"/>
            <w:tcMar>
              <w:top w:w="100" w:type="nil"/>
              <w:right w:w="100" w:type="nil"/>
            </w:tcMar>
            <w:vAlign w:val="center"/>
          </w:tcPr>
          <w:p w14:paraId="5D989698" w14:textId="77777777" w:rsidR="00DC4883" w:rsidRPr="003D5C01" w:rsidRDefault="00DC4883" w:rsidP="00270E36">
            <w:pPr>
              <w:autoSpaceDE w:val="0"/>
              <w:autoSpaceDN w:val="0"/>
              <w:adjustRightInd w:val="0"/>
              <w:jc w:val="center"/>
              <w:rPr>
                <w:rFonts w:ascii="Times New Roman" w:hAnsi="Times New Roman"/>
                <w:sz w:val="16"/>
                <w:szCs w:val="16"/>
              </w:rPr>
            </w:pPr>
          </w:p>
        </w:tc>
      </w:tr>
      <w:tr w:rsidR="00DC4883" w:rsidRPr="003D5C01" w14:paraId="4070F043" w14:textId="77777777" w:rsidTr="00270E36">
        <w:tc>
          <w:tcPr>
            <w:tcW w:w="2988" w:type="dxa"/>
            <w:tcMar>
              <w:top w:w="100" w:type="nil"/>
              <w:right w:w="100" w:type="nil"/>
            </w:tcMar>
            <w:vAlign w:val="center"/>
          </w:tcPr>
          <w:p w14:paraId="4F7DA818"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Male</w:t>
            </w:r>
          </w:p>
        </w:tc>
        <w:tc>
          <w:tcPr>
            <w:tcW w:w="2880" w:type="dxa"/>
            <w:tcMar>
              <w:top w:w="100" w:type="nil"/>
              <w:right w:w="100" w:type="nil"/>
            </w:tcMar>
            <w:vAlign w:val="center"/>
          </w:tcPr>
          <w:p w14:paraId="22A67A7C"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0.0509</w:t>
            </w:r>
          </w:p>
        </w:tc>
        <w:tc>
          <w:tcPr>
            <w:tcW w:w="2880" w:type="dxa"/>
            <w:tcMar>
              <w:top w:w="100" w:type="nil"/>
              <w:right w:w="100" w:type="nil"/>
            </w:tcMar>
            <w:vAlign w:val="center"/>
          </w:tcPr>
          <w:p w14:paraId="67B5B1C0"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-0.000541</w:t>
            </w:r>
          </w:p>
        </w:tc>
      </w:tr>
      <w:tr w:rsidR="00DC4883" w:rsidRPr="003D5C01" w14:paraId="76DF700E" w14:textId="77777777" w:rsidTr="00270E36">
        <w:tc>
          <w:tcPr>
            <w:tcW w:w="2988" w:type="dxa"/>
            <w:tcMar>
              <w:top w:w="100" w:type="nil"/>
              <w:right w:w="100" w:type="nil"/>
            </w:tcMar>
            <w:vAlign w:val="center"/>
          </w:tcPr>
          <w:p w14:paraId="47BE0831"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604D0F13"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(0.102)</w:t>
            </w:r>
          </w:p>
        </w:tc>
        <w:tc>
          <w:tcPr>
            <w:tcW w:w="2880" w:type="dxa"/>
            <w:tcMar>
              <w:top w:w="100" w:type="nil"/>
              <w:right w:w="100" w:type="nil"/>
            </w:tcMar>
            <w:vAlign w:val="center"/>
          </w:tcPr>
          <w:p w14:paraId="07482C7D"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(0.0730)</w:t>
            </w:r>
          </w:p>
        </w:tc>
      </w:tr>
      <w:tr w:rsidR="00DC4883" w:rsidRPr="003D5C01" w14:paraId="5E3F3D3E" w14:textId="77777777" w:rsidTr="00270E36">
        <w:tc>
          <w:tcPr>
            <w:tcW w:w="2988" w:type="dxa"/>
            <w:tcMar>
              <w:top w:w="100" w:type="nil"/>
              <w:right w:w="100" w:type="nil"/>
            </w:tcMar>
            <w:vAlign w:val="center"/>
          </w:tcPr>
          <w:p w14:paraId="74DAAF36"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04809AA4"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54B927F8"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2D2C7860" w14:textId="77777777" w:rsidTr="00270E36">
        <w:tc>
          <w:tcPr>
            <w:tcW w:w="2988" w:type="dxa"/>
            <w:tcMar>
              <w:top w:w="100" w:type="nil"/>
              <w:right w:w="100" w:type="nil"/>
            </w:tcMar>
            <w:vAlign w:val="center"/>
          </w:tcPr>
          <w:p w14:paraId="3B1D5FCC"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Minority</w:t>
            </w:r>
          </w:p>
        </w:tc>
        <w:tc>
          <w:tcPr>
            <w:tcW w:w="2880" w:type="dxa"/>
            <w:tcMar>
              <w:top w:w="100" w:type="nil"/>
              <w:right w:w="100" w:type="nil"/>
            </w:tcMar>
            <w:vAlign w:val="center"/>
          </w:tcPr>
          <w:p w14:paraId="70F0DAA4"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0.0920</w:t>
            </w:r>
          </w:p>
        </w:tc>
        <w:tc>
          <w:tcPr>
            <w:tcW w:w="2880" w:type="dxa"/>
            <w:tcMar>
              <w:top w:w="100" w:type="nil"/>
              <w:right w:w="100" w:type="nil"/>
            </w:tcMar>
            <w:vAlign w:val="center"/>
          </w:tcPr>
          <w:p w14:paraId="6300B4FF"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0.117</w:t>
            </w:r>
          </w:p>
        </w:tc>
      </w:tr>
      <w:tr w:rsidR="00DC4883" w:rsidRPr="003D5C01" w14:paraId="79683B7C" w14:textId="77777777" w:rsidTr="00270E36">
        <w:tc>
          <w:tcPr>
            <w:tcW w:w="2988" w:type="dxa"/>
            <w:tcMar>
              <w:top w:w="100" w:type="nil"/>
              <w:right w:w="100" w:type="nil"/>
            </w:tcMar>
            <w:vAlign w:val="center"/>
          </w:tcPr>
          <w:p w14:paraId="1E12B745"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4F0D94FA"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(0.133)</w:t>
            </w:r>
          </w:p>
        </w:tc>
        <w:tc>
          <w:tcPr>
            <w:tcW w:w="2880" w:type="dxa"/>
            <w:tcMar>
              <w:top w:w="100" w:type="nil"/>
              <w:right w:w="100" w:type="nil"/>
            </w:tcMar>
            <w:vAlign w:val="center"/>
          </w:tcPr>
          <w:p w14:paraId="57191C87"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(0.0822)</w:t>
            </w:r>
          </w:p>
        </w:tc>
      </w:tr>
      <w:tr w:rsidR="00DC4883" w:rsidRPr="003D5C01" w14:paraId="6D1C7691" w14:textId="77777777" w:rsidTr="00270E36">
        <w:tc>
          <w:tcPr>
            <w:tcW w:w="2988" w:type="dxa"/>
            <w:tcMar>
              <w:top w:w="100" w:type="nil"/>
              <w:right w:w="100" w:type="nil"/>
            </w:tcMar>
            <w:vAlign w:val="center"/>
          </w:tcPr>
          <w:p w14:paraId="2EBEF916"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6F669057"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4CBC4128"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31C683D0" w14:textId="77777777" w:rsidTr="00270E36">
        <w:tc>
          <w:tcPr>
            <w:tcW w:w="2988" w:type="dxa"/>
            <w:tcMar>
              <w:top w:w="100" w:type="nil"/>
              <w:right w:w="100" w:type="nil"/>
            </w:tcMar>
            <w:vAlign w:val="center"/>
          </w:tcPr>
          <w:p w14:paraId="77FD8D1C"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Firm Partner</w:t>
            </w:r>
          </w:p>
        </w:tc>
        <w:tc>
          <w:tcPr>
            <w:tcW w:w="2880" w:type="dxa"/>
            <w:tcMar>
              <w:top w:w="100" w:type="nil"/>
              <w:right w:w="100" w:type="nil"/>
            </w:tcMar>
            <w:vAlign w:val="center"/>
          </w:tcPr>
          <w:p w14:paraId="551B75DD"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0.356</w:t>
            </w:r>
            <w:r w:rsidRPr="003D5C01">
              <w:rPr>
                <w:rFonts w:ascii="Times New Roman" w:hAnsi="Times New Roman"/>
                <w:sz w:val="16"/>
                <w:szCs w:val="16"/>
                <w:vertAlign w:val="superscript"/>
              </w:rPr>
              <w:t>*</w:t>
            </w:r>
          </w:p>
        </w:tc>
        <w:tc>
          <w:tcPr>
            <w:tcW w:w="2880" w:type="dxa"/>
            <w:tcMar>
              <w:top w:w="100" w:type="nil"/>
              <w:right w:w="100" w:type="nil"/>
            </w:tcMar>
            <w:vAlign w:val="center"/>
          </w:tcPr>
          <w:p w14:paraId="19858185"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0.362</w:t>
            </w:r>
            <w:r w:rsidRPr="003D5C01">
              <w:rPr>
                <w:rFonts w:ascii="Times New Roman" w:hAnsi="Times New Roman"/>
                <w:sz w:val="16"/>
                <w:szCs w:val="16"/>
                <w:vertAlign w:val="superscript"/>
              </w:rPr>
              <w:t>***</w:t>
            </w:r>
          </w:p>
        </w:tc>
      </w:tr>
      <w:tr w:rsidR="00DC4883" w:rsidRPr="003D5C01" w14:paraId="235DDD27" w14:textId="77777777" w:rsidTr="00270E36">
        <w:tc>
          <w:tcPr>
            <w:tcW w:w="2988" w:type="dxa"/>
            <w:tcMar>
              <w:top w:w="100" w:type="nil"/>
              <w:right w:w="100" w:type="nil"/>
            </w:tcMar>
            <w:vAlign w:val="center"/>
          </w:tcPr>
          <w:p w14:paraId="27BB9AC1"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632CAFEF"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(0.150)</w:t>
            </w:r>
          </w:p>
        </w:tc>
        <w:tc>
          <w:tcPr>
            <w:tcW w:w="2880" w:type="dxa"/>
            <w:tcMar>
              <w:top w:w="100" w:type="nil"/>
              <w:right w:w="100" w:type="nil"/>
            </w:tcMar>
            <w:vAlign w:val="center"/>
          </w:tcPr>
          <w:p w14:paraId="44664B26"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(0.108)</w:t>
            </w:r>
          </w:p>
        </w:tc>
      </w:tr>
      <w:tr w:rsidR="00DC4883" w:rsidRPr="003D5C01" w14:paraId="40BEEE8C" w14:textId="77777777" w:rsidTr="00270E36">
        <w:tc>
          <w:tcPr>
            <w:tcW w:w="2988" w:type="dxa"/>
            <w:tcMar>
              <w:top w:w="100" w:type="nil"/>
              <w:right w:w="100" w:type="nil"/>
            </w:tcMar>
            <w:vAlign w:val="center"/>
          </w:tcPr>
          <w:p w14:paraId="62F9EDAB"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291FA46C"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3DF37AE8"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3F012642" w14:textId="77777777" w:rsidTr="00270E36">
        <w:tc>
          <w:tcPr>
            <w:tcW w:w="2988" w:type="dxa"/>
            <w:tcMar>
              <w:top w:w="100" w:type="nil"/>
              <w:right w:w="100" w:type="nil"/>
            </w:tcMar>
            <w:vAlign w:val="center"/>
          </w:tcPr>
          <w:p w14:paraId="77D249A5"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Examiner</w:t>
            </w:r>
          </w:p>
        </w:tc>
        <w:tc>
          <w:tcPr>
            <w:tcW w:w="2880" w:type="dxa"/>
            <w:tcMar>
              <w:top w:w="100" w:type="nil"/>
              <w:right w:w="100" w:type="nil"/>
            </w:tcMar>
            <w:vAlign w:val="center"/>
          </w:tcPr>
          <w:p w14:paraId="59604882"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0.0879</w:t>
            </w:r>
          </w:p>
        </w:tc>
        <w:tc>
          <w:tcPr>
            <w:tcW w:w="2880" w:type="dxa"/>
            <w:tcMar>
              <w:top w:w="100" w:type="nil"/>
              <w:right w:w="100" w:type="nil"/>
            </w:tcMar>
            <w:vAlign w:val="center"/>
          </w:tcPr>
          <w:p w14:paraId="5DCA8FF2"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0.0717</w:t>
            </w:r>
          </w:p>
        </w:tc>
      </w:tr>
      <w:tr w:rsidR="00DC4883" w:rsidRPr="003D5C01" w14:paraId="7CE2163D" w14:textId="77777777" w:rsidTr="00270E36">
        <w:tc>
          <w:tcPr>
            <w:tcW w:w="2988" w:type="dxa"/>
            <w:tcMar>
              <w:top w:w="100" w:type="nil"/>
              <w:right w:w="100" w:type="nil"/>
            </w:tcMar>
            <w:vAlign w:val="center"/>
          </w:tcPr>
          <w:p w14:paraId="2A2588AC"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7CF8E807"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(0.124)</w:t>
            </w:r>
          </w:p>
        </w:tc>
        <w:tc>
          <w:tcPr>
            <w:tcW w:w="2880" w:type="dxa"/>
            <w:tcMar>
              <w:top w:w="100" w:type="nil"/>
              <w:right w:w="100" w:type="nil"/>
            </w:tcMar>
            <w:vAlign w:val="center"/>
          </w:tcPr>
          <w:p w14:paraId="73EA4190"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(0.0846)</w:t>
            </w:r>
          </w:p>
        </w:tc>
      </w:tr>
      <w:tr w:rsidR="00DC4883" w:rsidRPr="003D5C01" w14:paraId="6E4B573D" w14:textId="77777777" w:rsidTr="00270E36">
        <w:tc>
          <w:tcPr>
            <w:tcW w:w="2988" w:type="dxa"/>
            <w:tcMar>
              <w:top w:w="100" w:type="nil"/>
              <w:right w:w="100" w:type="nil"/>
            </w:tcMar>
            <w:vAlign w:val="center"/>
          </w:tcPr>
          <w:p w14:paraId="087C15C7"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1B5C3143"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3ADA9322"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2704F71C" w14:textId="77777777" w:rsidTr="00270E36">
        <w:tc>
          <w:tcPr>
            <w:tcW w:w="2988" w:type="dxa"/>
            <w:tcMar>
              <w:top w:w="100" w:type="nil"/>
              <w:right w:w="100" w:type="nil"/>
            </w:tcMar>
            <w:vAlign w:val="center"/>
          </w:tcPr>
          <w:p w14:paraId="5B5EC1D5"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PTO Lawyer</w:t>
            </w:r>
          </w:p>
        </w:tc>
        <w:tc>
          <w:tcPr>
            <w:tcW w:w="2880" w:type="dxa"/>
            <w:tcMar>
              <w:top w:w="100" w:type="nil"/>
              <w:right w:w="100" w:type="nil"/>
            </w:tcMar>
            <w:vAlign w:val="center"/>
          </w:tcPr>
          <w:p w14:paraId="5D3F0030"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0.291</w:t>
            </w:r>
          </w:p>
        </w:tc>
        <w:tc>
          <w:tcPr>
            <w:tcW w:w="2880" w:type="dxa"/>
            <w:tcMar>
              <w:top w:w="100" w:type="nil"/>
              <w:right w:w="100" w:type="nil"/>
            </w:tcMar>
            <w:vAlign w:val="center"/>
          </w:tcPr>
          <w:p w14:paraId="54F71C49"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0.240</w:t>
            </w:r>
            <w:r w:rsidRPr="003D5C01">
              <w:rPr>
                <w:rFonts w:ascii="Times New Roman" w:hAnsi="Times New Roman"/>
                <w:sz w:val="16"/>
                <w:szCs w:val="16"/>
                <w:vertAlign w:val="superscript"/>
              </w:rPr>
              <w:t>*</w:t>
            </w:r>
          </w:p>
        </w:tc>
      </w:tr>
      <w:tr w:rsidR="00DC4883" w:rsidRPr="003D5C01" w14:paraId="5648DD7F" w14:textId="77777777" w:rsidTr="00270E36">
        <w:tc>
          <w:tcPr>
            <w:tcW w:w="2988" w:type="dxa"/>
            <w:tcMar>
              <w:top w:w="100" w:type="nil"/>
              <w:right w:w="100" w:type="nil"/>
            </w:tcMar>
            <w:vAlign w:val="center"/>
          </w:tcPr>
          <w:p w14:paraId="0488B7CE"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0C000A05"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(0.173)</w:t>
            </w:r>
          </w:p>
        </w:tc>
        <w:tc>
          <w:tcPr>
            <w:tcW w:w="2880" w:type="dxa"/>
            <w:tcMar>
              <w:top w:w="100" w:type="nil"/>
              <w:right w:w="100" w:type="nil"/>
            </w:tcMar>
            <w:vAlign w:val="center"/>
          </w:tcPr>
          <w:p w14:paraId="788D0D6C"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(0.111)</w:t>
            </w:r>
          </w:p>
        </w:tc>
      </w:tr>
      <w:tr w:rsidR="00DC4883" w:rsidRPr="003D5C01" w14:paraId="68F09E76" w14:textId="77777777" w:rsidTr="00270E36">
        <w:tc>
          <w:tcPr>
            <w:tcW w:w="2988" w:type="dxa"/>
            <w:tcMar>
              <w:top w:w="100" w:type="nil"/>
              <w:right w:w="100" w:type="nil"/>
            </w:tcMar>
            <w:vAlign w:val="center"/>
          </w:tcPr>
          <w:p w14:paraId="44663551"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201838A6"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5C41F213"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7B081160" w14:textId="77777777" w:rsidTr="00270E36">
        <w:tc>
          <w:tcPr>
            <w:tcW w:w="2988" w:type="dxa"/>
            <w:tcMar>
              <w:top w:w="100" w:type="nil"/>
              <w:right w:w="100" w:type="nil"/>
            </w:tcMar>
            <w:vAlign w:val="center"/>
          </w:tcPr>
          <w:p w14:paraId="71FC13B8"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Scientist</w:t>
            </w:r>
          </w:p>
        </w:tc>
        <w:tc>
          <w:tcPr>
            <w:tcW w:w="2880" w:type="dxa"/>
            <w:tcMar>
              <w:top w:w="100" w:type="nil"/>
              <w:right w:w="100" w:type="nil"/>
            </w:tcMar>
            <w:vAlign w:val="center"/>
          </w:tcPr>
          <w:p w14:paraId="6E8D6789"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0.0495</w:t>
            </w:r>
          </w:p>
        </w:tc>
        <w:tc>
          <w:tcPr>
            <w:tcW w:w="2880" w:type="dxa"/>
            <w:tcMar>
              <w:top w:w="100" w:type="nil"/>
              <w:right w:w="100" w:type="nil"/>
            </w:tcMar>
            <w:vAlign w:val="center"/>
          </w:tcPr>
          <w:p w14:paraId="41C9EFFA"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0.0847</w:t>
            </w:r>
          </w:p>
        </w:tc>
      </w:tr>
      <w:tr w:rsidR="00DC4883" w:rsidRPr="003D5C01" w14:paraId="0534D84B" w14:textId="77777777" w:rsidTr="00270E36">
        <w:tc>
          <w:tcPr>
            <w:tcW w:w="2988" w:type="dxa"/>
            <w:tcMar>
              <w:top w:w="100" w:type="nil"/>
              <w:right w:w="100" w:type="nil"/>
            </w:tcMar>
            <w:vAlign w:val="center"/>
          </w:tcPr>
          <w:p w14:paraId="7F8F7B9E"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3E866465"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(0.0935)</w:t>
            </w:r>
          </w:p>
        </w:tc>
        <w:tc>
          <w:tcPr>
            <w:tcW w:w="2880" w:type="dxa"/>
            <w:tcMar>
              <w:top w:w="100" w:type="nil"/>
              <w:right w:w="100" w:type="nil"/>
            </w:tcMar>
            <w:vAlign w:val="center"/>
          </w:tcPr>
          <w:p w14:paraId="44C6443E"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(0.0658)</w:t>
            </w:r>
          </w:p>
        </w:tc>
      </w:tr>
      <w:tr w:rsidR="00DC4883" w:rsidRPr="003D5C01" w14:paraId="0F058642" w14:textId="77777777" w:rsidTr="00270E36">
        <w:tc>
          <w:tcPr>
            <w:tcW w:w="2988" w:type="dxa"/>
            <w:tcMar>
              <w:top w:w="100" w:type="nil"/>
              <w:right w:w="100" w:type="nil"/>
            </w:tcMar>
            <w:vAlign w:val="center"/>
          </w:tcPr>
          <w:p w14:paraId="575A5996"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402BAD01"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6698CD36"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2DCD691E" w14:textId="77777777" w:rsidTr="00270E36">
        <w:tc>
          <w:tcPr>
            <w:tcW w:w="2988" w:type="dxa"/>
            <w:tcMar>
              <w:top w:w="100" w:type="nil"/>
              <w:right w:w="100" w:type="nil"/>
            </w:tcMar>
            <w:vAlign w:val="center"/>
          </w:tcPr>
          <w:p w14:paraId="61FC4C32"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In House</w:t>
            </w:r>
          </w:p>
        </w:tc>
        <w:tc>
          <w:tcPr>
            <w:tcW w:w="2880" w:type="dxa"/>
            <w:tcMar>
              <w:top w:w="100" w:type="nil"/>
              <w:right w:w="100" w:type="nil"/>
            </w:tcMar>
            <w:vAlign w:val="center"/>
          </w:tcPr>
          <w:p w14:paraId="2703F92D"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-0.0530</w:t>
            </w:r>
          </w:p>
        </w:tc>
        <w:tc>
          <w:tcPr>
            <w:tcW w:w="2880" w:type="dxa"/>
            <w:tcMar>
              <w:top w:w="100" w:type="nil"/>
              <w:right w:w="100" w:type="nil"/>
            </w:tcMar>
            <w:vAlign w:val="center"/>
          </w:tcPr>
          <w:p w14:paraId="5E7AF31C"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-0.0520</w:t>
            </w:r>
          </w:p>
        </w:tc>
      </w:tr>
      <w:tr w:rsidR="00DC4883" w:rsidRPr="003D5C01" w14:paraId="6E937713" w14:textId="77777777" w:rsidTr="00270E36">
        <w:tc>
          <w:tcPr>
            <w:tcW w:w="2988" w:type="dxa"/>
            <w:tcMar>
              <w:top w:w="100" w:type="nil"/>
              <w:right w:w="100" w:type="nil"/>
            </w:tcMar>
            <w:vAlign w:val="center"/>
          </w:tcPr>
          <w:p w14:paraId="3C46659C"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73B4F6F9"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(0.120)</w:t>
            </w:r>
          </w:p>
        </w:tc>
        <w:tc>
          <w:tcPr>
            <w:tcW w:w="2880" w:type="dxa"/>
            <w:tcMar>
              <w:top w:w="100" w:type="nil"/>
              <w:right w:w="100" w:type="nil"/>
            </w:tcMar>
            <w:vAlign w:val="center"/>
          </w:tcPr>
          <w:p w14:paraId="00739E7B"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(0.105)</w:t>
            </w:r>
          </w:p>
        </w:tc>
      </w:tr>
      <w:tr w:rsidR="00DC4883" w:rsidRPr="003D5C01" w14:paraId="234ADA34" w14:textId="77777777" w:rsidTr="00270E36">
        <w:tc>
          <w:tcPr>
            <w:tcW w:w="2988" w:type="dxa"/>
            <w:tcMar>
              <w:top w:w="100" w:type="nil"/>
              <w:right w:w="100" w:type="nil"/>
            </w:tcMar>
            <w:vAlign w:val="center"/>
          </w:tcPr>
          <w:p w14:paraId="2A4BFC0E"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40117689"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78FD2A40"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1C023C4C" w14:textId="77777777" w:rsidTr="00270E36">
        <w:tc>
          <w:tcPr>
            <w:tcW w:w="2988" w:type="dxa"/>
            <w:tcMar>
              <w:top w:w="100" w:type="nil"/>
              <w:right w:w="100" w:type="nil"/>
            </w:tcMar>
            <w:vAlign w:val="center"/>
          </w:tcPr>
          <w:p w14:paraId="09A1C799"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Fed. Cir. Clerk</w:t>
            </w:r>
          </w:p>
        </w:tc>
        <w:tc>
          <w:tcPr>
            <w:tcW w:w="2880" w:type="dxa"/>
            <w:tcMar>
              <w:top w:w="100" w:type="nil"/>
              <w:right w:w="100" w:type="nil"/>
            </w:tcMar>
            <w:vAlign w:val="center"/>
          </w:tcPr>
          <w:p w14:paraId="1E72EFBB"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-0.185</w:t>
            </w:r>
          </w:p>
        </w:tc>
        <w:tc>
          <w:tcPr>
            <w:tcW w:w="2880" w:type="dxa"/>
            <w:tcMar>
              <w:top w:w="100" w:type="nil"/>
              <w:right w:w="100" w:type="nil"/>
            </w:tcMar>
            <w:vAlign w:val="center"/>
          </w:tcPr>
          <w:p w14:paraId="3A63A6C9"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-0.255</w:t>
            </w:r>
            <w:r w:rsidRPr="003D5C01">
              <w:rPr>
                <w:rFonts w:ascii="Times New Roman" w:hAnsi="Times New Roman"/>
                <w:sz w:val="16"/>
                <w:szCs w:val="16"/>
                <w:vertAlign w:val="superscript"/>
              </w:rPr>
              <w:t>**</w:t>
            </w:r>
          </w:p>
        </w:tc>
      </w:tr>
      <w:tr w:rsidR="00DC4883" w:rsidRPr="003D5C01" w14:paraId="2B9C0D5B" w14:textId="77777777" w:rsidTr="00270E36">
        <w:tc>
          <w:tcPr>
            <w:tcW w:w="2988" w:type="dxa"/>
            <w:tcMar>
              <w:top w:w="100" w:type="nil"/>
              <w:right w:w="100" w:type="nil"/>
            </w:tcMar>
            <w:vAlign w:val="center"/>
          </w:tcPr>
          <w:p w14:paraId="1CCFE9D5"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6F4A4906"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(0.117)</w:t>
            </w:r>
          </w:p>
        </w:tc>
        <w:tc>
          <w:tcPr>
            <w:tcW w:w="2880" w:type="dxa"/>
            <w:tcMar>
              <w:top w:w="100" w:type="nil"/>
              <w:right w:w="100" w:type="nil"/>
            </w:tcMar>
            <w:vAlign w:val="center"/>
          </w:tcPr>
          <w:p w14:paraId="0FE0514F"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(0.0894)</w:t>
            </w:r>
          </w:p>
        </w:tc>
      </w:tr>
      <w:tr w:rsidR="003177FA" w:rsidRPr="003D5C01" w14:paraId="743171BA" w14:textId="77777777" w:rsidTr="00270E36">
        <w:tc>
          <w:tcPr>
            <w:tcW w:w="2988" w:type="dxa"/>
            <w:tcMar>
              <w:top w:w="100" w:type="nil"/>
              <w:right w:w="100" w:type="nil"/>
            </w:tcMar>
            <w:vAlign w:val="center"/>
          </w:tcPr>
          <w:p w14:paraId="31A40358" w14:textId="77777777" w:rsidR="003177FA" w:rsidRPr="003D5C01" w:rsidRDefault="003177FA"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7C2110EB" w14:textId="77777777" w:rsidR="003177FA" w:rsidRPr="003D5C01" w:rsidRDefault="003177FA" w:rsidP="00270E36">
            <w:pPr>
              <w:autoSpaceDE w:val="0"/>
              <w:autoSpaceDN w:val="0"/>
              <w:adjustRightInd w:val="0"/>
              <w:jc w:val="center"/>
              <w:rPr>
                <w:rFonts w:ascii="Times New Roman" w:hAnsi="Times New Roman"/>
                <w:sz w:val="16"/>
                <w:szCs w:val="16"/>
              </w:rPr>
            </w:pPr>
          </w:p>
        </w:tc>
        <w:tc>
          <w:tcPr>
            <w:tcW w:w="2880" w:type="dxa"/>
            <w:tcMar>
              <w:top w:w="100" w:type="nil"/>
              <w:right w:w="100" w:type="nil"/>
            </w:tcMar>
            <w:vAlign w:val="center"/>
          </w:tcPr>
          <w:p w14:paraId="1B93124A" w14:textId="77777777" w:rsidR="003177FA" w:rsidRPr="003D5C01" w:rsidRDefault="003177FA" w:rsidP="00270E36">
            <w:pPr>
              <w:autoSpaceDE w:val="0"/>
              <w:autoSpaceDN w:val="0"/>
              <w:adjustRightInd w:val="0"/>
              <w:jc w:val="center"/>
              <w:rPr>
                <w:rFonts w:ascii="Times New Roman" w:hAnsi="Times New Roman"/>
                <w:sz w:val="16"/>
                <w:szCs w:val="16"/>
              </w:rPr>
            </w:pPr>
          </w:p>
        </w:tc>
      </w:tr>
      <w:tr w:rsidR="00DC4883" w:rsidRPr="003D5C01" w14:paraId="59353AA8" w14:textId="77777777" w:rsidTr="00270E36">
        <w:tc>
          <w:tcPr>
            <w:tcW w:w="2988" w:type="dxa"/>
            <w:tcMar>
              <w:top w:w="100" w:type="nil"/>
              <w:right w:w="100" w:type="nil"/>
            </w:tcMar>
            <w:vAlign w:val="center"/>
          </w:tcPr>
          <w:p w14:paraId="1CB924BE" w14:textId="02593CBD" w:rsidR="00DC4883" w:rsidRPr="003177FA" w:rsidRDefault="003177FA" w:rsidP="00270E36">
            <w:pPr>
              <w:autoSpaceDE w:val="0"/>
              <w:autoSpaceDN w:val="0"/>
              <w:adjustRightInd w:val="0"/>
              <w:rPr>
                <w:rFonts w:ascii="Times New Roman" w:hAnsi="Times New Roman"/>
                <w:sz w:val="16"/>
                <w:szCs w:val="16"/>
              </w:rPr>
            </w:pPr>
            <w:r>
              <w:rPr>
                <w:rFonts w:ascii="Times New Roman" w:hAnsi="Times New Roman"/>
                <w:sz w:val="16"/>
                <w:szCs w:val="16"/>
              </w:rPr>
              <w:t>Advanced Degree</w:t>
            </w:r>
          </w:p>
        </w:tc>
        <w:tc>
          <w:tcPr>
            <w:tcW w:w="2880" w:type="dxa"/>
            <w:tcMar>
              <w:top w:w="100" w:type="nil"/>
              <w:right w:w="100" w:type="nil"/>
            </w:tcMar>
            <w:vAlign w:val="center"/>
          </w:tcPr>
          <w:p w14:paraId="05C347D9" w14:textId="00C74A84" w:rsidR="00DC4883" w:rsidRPr="003D5C01" w:rsidRDefault="003177FA" w:rsidP="00270E36">
            <w:pPr>
              <w:autoSpaceDE w:val="0"/>
              <w:autoSpaceDN w:val="0"/>
              <w:adjustRightInd w:val="0"/>
              <w:rPr>
                <w:rFonts w:ascii="Times New Roman" w:hAnsi="Times New Roman"/>
                <w:sz w:val="16"/>
                <w:szCs w:val="16"/>
              </w:rPr>
            </w:pPr>
            <w:r>
              <w:rPr>
                <w:rFonts w:ascii="Times New Roman" w:hAnsi="Times New Roman"/>
                <w:sz w:val="16"/>
                <w:szCs w:val="16"/>
              </w:rPr>
              <w:t xml:space="preserve">                        0.343</w:t>
            </w:r>
          </w:p>
        </w:tc>
        <w:tc>
          <w:tcPr>
            <w:tcW w:w="2880" w:type="dxa"/>
            <w:tcMar>
              <w:top w:w="100" w:type="nil"/>
              <w:right w:w="100" w:type="nil"/>
            </w:tcMar>
            <w:vAlign w:val="center"/>
          </w:tcPr>
          <w:p w14:paraId="2FA7F380" w14:textId="09CB2A82" w:rsidR="00DC4883" w:rsidRPr="003D5C01" w:rsidRDefault="003177FA" w:rsidP="00270E36">
            <w:pPr>
              <w:autoSpaceDE w:val="0"/>
              <w:autoSpaceDN w:val="0"/>
              <w:adjustRightInd w:val="0"/>
              <w:rPr>
                <w:rFonts w:ascii="Times New Roman" w:hAnsi="Times New Roman"/>
                <w:sz w:val="16"/>
                <w:szCs w:val="16"/>
              </w:rPr>
            </w:pPr>
            <w:r>
              <w:rPr>
                <w:rFonts w:ascii="Times New Roman" w:hAnsi="Times New Roman"/>
                <w:sz w:val="16"/>
                <w:szCs w:val="16"/>
              </w:rPr>
              <w:t xml:space="preserve">                        0.321</w:t>
            </w:r>
          </w:p>
        </w:tc>
      </w:tr>
      <w:tr w:rsidR="003177FA" w:rsidRPr="003D5C01" w14:paraId="05D1CCA0" w14:textId="77777777" w:rsidTr="00270E36">
        <w:tc>
          <w:tcPr>
            <w:tcW w:w="2988" w:type="dxa"/>
            <w:tcMar>
              <w:top w:w="100" w:type="nil"/>
              <w:right w:w="100" w:type="nil"/>
            </w:tcMar>
            <w:vAlign w:val="center"/>
          </w:tcPr>
          <w:p w14:paraId="31E1CE3C" w14:textId="77777777" w:rsidR="003177FA" w:rsidRPr="003D5C01" w:rsidRDefault="003177FA" w:rsidP="00270E36">
            <w:pPr>
              <w:autoSpaceDE w:val="0"/>
              <w:autoSpaceDN w:val="0"/>
              <w:adjustRightInd w:val="0"/>
              <w:rPr>
                <w:rFonts w:ascii="Times New Roman" w:hAnsi="Times New Roman"/>
                <w:b/>
                <w:bCs/>
                <w:i/>
                <w:iCs/>
                <w:sz w:val="16"/>
                <w:szCs w:val="16"/>
              </w:rPr>
            </w:pPr>
          </w:p>
        </w:tc>
        <w:tc>
          <w:tcPr>
            <w:tcW w:w="2880" w:type="dxa"/>
            <w:tcMar>
              <w:top w:w="100" w:type="nil"/>
              <w:right w:w="100" w:type="nil"/>
            </w:tcMar>
            <w:vAlign w:val="center"/>
          </w:tcPr>
          <w:p w14:paraId="3EB1B1E8" w14:textId="509C5365" w:rsidR="003177FA" w:rsidRPr="003D5C01" w:rsidRDefault="003177FA" w:rsidP="00270E36">
            <w:pPr>
              <w:autoSpaceDE w:val="0"/>
              <w:autoSpaceDN w:val="0"/>
              <w:adjustRightInd w:val="0"/>
              <w:rPr>
                <w:rFonts w:ascii="Times New Roman" w:hAnsi="Times New Roman"/>
                <w:sz w:val="16"/>
                <w:szCs w:val="16"/>
              </w:rPr>
            </w:pPr>
            <w:r>
              <w:rPr>
                <w:rFonts w:ascii="Times New Roman" w:hAnsi="Times New Roman"/>
                <w:sz w:val="16"/>
                <w:szCs w:val="16"/>
              </w:rPr>
              <w:t xml:space="preserve">                        (0.182)</w:t>
            </w:r>
          </w:p>
        </w:tc>
        <w:tc>
          <w:tcPr>
            <w:tcW w:w="2880" w:type="dxa"/>
            <w:tcMar>
              <w:top w:w="100" w:type="nil"/>
              <w:right w:w="100" w:type="nil"/>
            </w:tcMar>
            <w:vAlign w:val="center"/>
          </w:tcPr>
          <w:p w14:paraId="4202F084" w14:textId="1DFCE433" w:rsidR="003177FA" w:rsidRPr="003D5C01" w:rsidRDefault="003177FA" w:rsidP="00270E36">
            <w:pPr>
              <w:autoSpaceDE w:val="0"/>
              <w:autoSpaceDN w:val="0"/>
              <w:adjustRightInd w:val="0"/>
              <w:rPr>
                <w:rFonts w:ascii="Times New Roman" w:hAnsi="Times New Roman"/>
                <w:sz w:val="16"/>
                <w:szCs w:val="16"/>
              </w:rPr>
            </w:pPr>
            <w:r>
              <w:rPr>
                <w:rFonts w:ascii="Times New Roman" w:hAnsi="Times New Roman"/>
                <w:sz w:val="16"/>
                <w:szCs w:val="16"/>
              </w:rPr>
              <w:t xml:space="preserve">                       (0.191)</w:t>
            </w:r>
          </w:p>
        </w:tc>
      </w:tr>
      <w:tr w:rsidR="00DC4883" w:rsidRPr="003D5C01" w14:paraId="00BDE3E3" w14:textId="77777777" w:rsidTr="00270E36">
        <w:tc>
          <w:tcPr>
            <w:tcW w:w="2988" w:type="dxa"/>
            <w:tcMar>
              <w:top w:w="100" w:type="nil"/>
              <w:right w:w="100" w:type="nil"/>
            </w:tcMar>
            <w:vAlign w:val="center"/>
          </w:tcPr>
          <w:p w14:paraId="6A1831F8" w14:textId="77777777" w:rsidR="00DC4883" w:rsidRPr="003D5C01" w:rsidRDefault="00DC4883" w:rsidP="00270E36">
            <w:pPr>
              <w:autoSpaceDE w:val="0"/>
              <w:autoSpaceDN w:val="0"/>
              <w:adjustRightInd w:val="0"/>
              <w:rPr>
                <w:rFonts w:ascii="Times New Roman" w:hAnsi="Times New Roman"/>
                <w:b/>
                <w:bCs/>
                <w:i/>
                <w:iCs/>
                <w:sz w:val="16"/>
                <w:szCs w:val="16"/>
              </w:rPr>
            </w:pPr>
            <w:r w:rsidRPr="003D5C01">
              <w:rPr>
                <w:rFonts w:ascii="Times New Roman" w:hAnsi="Times New Roman"/>
                <w:b/>
                <w:bCs/>
                <w:i/>
                <w:iCs/>
                <w:sz w:val="16"/>
                <w:szCs w:val="16"/>
              </w:rPr>
              <w:t xml:space="preserve">Location </w:t>
            </w:r>
          </w:p>
        </w:tc>
        <w:tc>
          <w:tcPr>
            <w:tcW w:w="2880" w:type="dxa"/>
            <w:tcMar>
              <w:top w:w="100" w:type="nil"/>
              <w:right w:w="100" w:type="nil"/>
            </w:tcMar>
            <w:vAlign w:val="center"/>
          </w:tcPr>
          <w:p w14:paraId="3D41E95C"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24A24856"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5F538E16" w14:textId="77777777" w:rsidTr="00270E36">
        <w:tc>
          <w:tcPr>
            <w:tcW w:w="2988" w:type="dxa"/>
            <w:tcMar>
              <w:top w:w="100" w:type="nil"/>
              <w:right w:w="100" w:type="nil"/>
            </w:tcMar>
            <w:vAlign w:val="center"/>
          </w:tcPr>
          <w:p w14:paraId="0FDC2A60"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Texas</w:t>
            </w:r>
          </w:p>
        </w:tc>
        <w:tc>
          <w:tcPr>
            <w:tcW w:w="2880" w:type="dxa"/>
            <w:tcMar>
              <w:top w:w="100" w:type="nil"/>
              <w:right w:w="100" w:type="nil"/>
            </w:tcMar>
            <w:vAlign w:val="center"/>
          </w:tcPr>
          <w:p w14:paraId="0C524D1E"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0.434</w:t>
            </w:r>
          </w:p>
        </w:tc>
        <w:tc>
          <w:tcPr>
            <w:tcW w:w="2880" w:type="dxa"/>
            <w:tcMar>
              <w:top w:w="100" w:type="nil"/>
              <w:right w:w="100" w:type="nil"/>
            </w:tcMar>
            <w:vAlign w:val="center"/>
          </w:tcPr>
          <w:p w14:paraId="4C652544"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0.420</w:t>
            </w:r>
            <w:r w:rsidRPr="003D5C01">
              <w:rPr>
                <w:rFonts w:ascii="Times New Roman" w:hAnsi="Times New Roman"/>
                <w:sz w:val="16"/>
                <w:szCs w:val="16"/>
                <w:vertAlign w:val="superscript"/>
              </w:rPr>
              <w:t>*</w:t>
            </w:r>
          </w:p>
        </w:tc>
      </w:tr>
      <w:tr w:rsidR="00DC4883" w:rsidRPr="003D5C01" w14:paraId="7337781A" w14:textId="77777777" w:rsidTr="00270E36">
        <w:tc>
          <w:tcPr>
            <w:tcW w:w="2988" w:type="dxa"/>
            <w:tcMar>
              <w:top w:w="100" w:type="nil"/>
              <w:right w:w="100" w:type="nil"/>
            </w:tcMar>
            <w:vAlign w:val="center"/>
          </w:tcPr>
          <w:p w14:paraId="237EC533"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515FFBE2"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(0.288)</w:t>
            </w:r>
          </w:p>
        </w:tc>
        <w:tc>
          <w:tcPr>
            <w:tcW w:w="2880" w:type="dxa"/>
            <w:tcMar>
              <w:top w:w="100" w:type="nil"/>
              <w:right w:w="100" w:type="nil"/>
            </w:tcMar>
            <w:vAlign w:val="center"/>
          </w:tcPr>
          <w:p w14:paraId="6A4EFC71"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(0.187)</w:t>
            </w:r>
          </w:p>
        </w:tc>
      </w:tr>
      <w:tr w:rsidR="00DC4883" w:rsidRPr="003D5C01" w14:paraId="0D73C045" w14:textId="77777777" w:rsidTr="00270E36">
        <w:tc>
          <w:tcPr>
            <w:tcW w:w="2988" w:type="dxa"/>
            <w:tcMar>
              <w:top w:w="100" w:type="nil"/>
              <w:right w:w="100" w:type="nil"/>
            </w:tcMar>
            <w:vAlign w:val="center"/>
          </w:tcPr>
          <w:p w14:paraId="320783B8"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6554F080"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069B435B"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6D496CCB" w14:textId="77777777" w:rsidTr="00270E36">
        <w:tc>
          <w:tcPr>
            <w:tcW w:w="2988" w:type="dxa"/>
            <w:tcMar>
              <w:top w:w="100" w:type="nil"/>
              <w:right w:w="100" w:type="nil"/>
            </w:tcMar>
            <w:vAlign w:val="center"/>
          </w:tcPr>
          <w:p w14:paraId="2CA3D21D"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Colorado</w:t>
            </w:r>
          </w:p>
        </w:tc>
        <w:tc>
          <w:tcPr>
            <w:tcW w:w="2880" w:type="dxa"/>
            <w:tcMar>
              <w:top w:w="100" w:type="nil"/>
              <w:right w:w="100" w:type="nil"/>
            </w:tcMar>
            <w:vAlign w:val="center"/>
          </w:tcPr>
          <w:p w14:paraId="23C05B1C"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0.433</w:t>
            </w:r>
            <w:r w:rsidRPr="003D5C01">
              <w:rPr>
                <w:rFonts w:ascii="Times New Roman" w:hAnsi="Times New Roman"/>
                <w:sz w:val="16"/>
                <w:szCs w:val="16"/>
                <w:vertAlign w:val="superscript"/>
              </w:rPr>
              <w:t>**</w:t>
            </w:r>
          </w:p>
        </w:tc>
        <w:tc>
          <w:tcPr>
            <w:tcW w:w="2880" w:type="dxa"/>
            <w:tcMar>
              <w:top w:w="100" w:type="nil"/>
              <w:right w:w="100" w:type="nil"/>
            </w:tcMar>
            <w:vAlign w:val="center"/>
          </w:tcPr>
          <w:p w14:paraId="2573F9F8"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0.321</w:t>
            </w:r>
            <w:r w:rsidRPr="003D5C01">
              <w:rPr>
                <w:rFonts w:ascii="Times New Roman" w:hAnsi="Times New Roman"/>
                <w:sz w:val="16"/>
                <w:szCs w:val="16"/>
                <w:vertAlign w:val="superscript"/>
              </w:rPr>
              <w:t>*</w:t>
            </w:r>
          </w:p>
        </w:tc>
      </w:tr>
      <w:tr w:rsidR="00DC4883" w:rsidRPr="003D5C01" w14:paraId="348FE931" w14:textId="77777777" w:rsidTr="00270E36">
        <w:tc>
          <w:tcPr>
            <w:tcW w:w="2988" w:type="dxa"/>
            <w:tcMar>
              <w:top w:w="100" w:type="nil"/>
              <w:right w:w="100" w:type="nil"/>
            </w:tcMar>
            <w:vAlign w:val="center"/>
          </w:tcPr>
          <w:p w14:paraId="34DF8F73"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7F8EF13C"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(0.140)</w:t>
            </w:r>
          </w:p>
        </w:tc>
        <w:tc>
          <w:tcPr>
            <w:tcW w:w="2880" w:type="dxa"/>
            <w:tcMar>
              <w:top w:w="100" w:type="nil"/>
              <w:right w:w="100" w:type="nil"/>
            </w:tcMar>
            <w:vAlign w:val="center"/>
          </w:tcPr>
          <w:p w14:paraId="29C98F6C"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(0.141)</w:t>
            </w:r>
          </w:p>
        </w:tc>
      </w:tr>
      <w:tr w:rsidR="00DC4883" w:rsidRPr="003D5C01" w14:paraId="45D8BE39" w14:textId="77777777" w:rsidTr="00270E36">
        <w:tc>
          <w:tcPr>
            <w:tcW w:w="2988" w:type="dxa"/>
            <w:tcMar>
              <w:top w:w="100" w:type="nil"/>
              <w:right w:w="100" w:type="nil"/>
            </w:tcMar>
            <w:vAlign w:val="center"/>
          </w:tcPr>
          <w:p w14:paraId="0FF1D72B"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4BD84258"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42760CE0"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6D711F51" w14:textId="77777777" w:rsidTr="00270E36">
        <w:tc>
          <w:tcPr>
            <w:tcW w:w="2988" w:type="dxa"/>
            <w:tcMar>
              <w:top w:w="100" w:type="nil"/>
              <w:right w:w="100" w:type="nil"/>
            </w:tcMar>
            <w:vAlign w:val="center"/>
          </w:tcPr>
          <w:p w14:paraId="27066A2C"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Michigan</w:t>
            </w:r>
          </w:p>
        </w:tc>
        <w:tc>
          <w:tcPr>
            <w:tcW w:w="2880" w:type="dxa"/>
            <w:tcMar>
              <w:top w:w="100" w:type="nil"/>
              <w:right w:w="100" w:type="nil"/>
            </w:tcMar>
            <w:vAlign w:val="center"/>
          </w:tcPr>
          <w:p w14:paraId="3C23EF2E"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-0.0811</w:t>
            </w:r>
          </w:p>
        </w:tc>
        <w:tc>
          <w:tcPr>
            <w:tcW w:w="2880" w:type="dxa"/>
            <w:tcMar>
              <w:top w:w="100" w:type="nil"/>
              <w:right w:w="100" w:type="nil"/>
            </w:tcMar>
            <w:vAlign w:val="center"/>
          </w:tcPr>
          <w:p w14:paraId="499B7F58"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-0.0500</w:t>
            </w:r>
          </w:p>
        </w:tc>
      </w:tr>
      <w:tr w:rsidR="00DC4883" w:rsidRPr="003D5C01" w14:paraId="1F96920F" w14:textId="77777777" w:rsidTr="00270E36">
        <w:tc>
          <w:tcPr>
            <w:tcW w:w="2988" w:type="dxa"/>
            <w:tcMar>
              <w:top w:w="100" w:type="nil"/>
              <w:right w:w="100" w:type="nil"/>
            </w:tcMar>
            <w:vAlign w:val="center"/>
          </w:tcPr>
          <w:p w14:paraId="27CB6A27"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41B41A3B"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(0.204)</w:t>
            </w:r>
          </w:p>
        </w:tc>
        <w:tc>
          <w:tcPr>
            <w:tcW w:w="2880" w:type="dxa"/>
            <w:tcMar>
              <w:top w:w="100" w:type="nil"/>
              <w:right w:w="100" w:type="nil"/>
            </w:tcMar>
            <w:vAlign w:val="center"/>
          </w:tcPr>
          <w:p w14:paraId="355F2EE3"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(0.168)</w:t>
            </w:r>
          </w:p>
        </w:tc>
      </w:tr>
      <w:tr w:rsidR="00DC4883" w:rsidRPr="003D5C01" w14:paraId="39D8672E" w14:textId="77777777" w:rsidTr="00270E36">
        <w:tc>
          <w:tcPr>
            <w:tcW w:w="2988" w:type="dxa"/>
            <w:tcMar>
              <w:top w:w="100" w:type="nil"/>
              <w:right w:w="100" w:type="nil"/>
            </w:tcMar>
            <w:vAlign w:val="center"/>
          </w:tcPr>
          <w:p w14:paraId="6E6E09E3"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0E7E2B66"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1953AB1E"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47812E73" w14:textId="77777777" w:rsidTr="00270E36">
        <w:tc>
          <w:tcPr>
            <w:tcW w:w="2988" w:type="dxa"/>
            <w:tcMar>
              <w:top w:w="100" w:type="nil"/>
              <w:right w:w="100" w:type="nil"/>
            </w:tcMar>
            <w:vAlign w:val="center"/>
          </w:tcPr>
          <w:p w14:paraId="3DFB1BEA"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California</w:t>
            </w:r>
          </w:p>
        </w:tc>
        <w:tc>
          <w:tcPr>
            <w:tcW w:w="2880" w:type="dxa"/>
            <w:tcMar>
              <w:top w:w="100" w:type="nil"/>
              <w:right w:w="100" w:type="nil"/>
            </w:tcMar>
            <w:vAlign w:val="center"/>
          </w:tcPr>
          <w:p w14:paraId="656AAF6E"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0.119</w:t>
            </w:r>
          </w:p>
        </w:tc>
        <w:tc>
          <w:tcPr>
            <w:tcW w:w="2880" w:type="dxa"/>
            <w:tcMar>
              <w:top w:w="100" w:type="nil"/>
              <w:right w:w="100" w:type="nil"/>
            </w:tcMar>
            <w:vAlign w:val="center"/>
          </w:tcPr>
          <w:p w14:paraId="48D8FD7B"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0.0728</w:t>
            </w:r>
          </w:p>
        </w:tc>
      </w:tr>
      <w:tr w:rsidR="00DC4883" w:rsidRPr="003D5C01" w14:paraId="6FB828F7" w14:textId="77777777" w:rsidTr="00270E36">
        <w:tc>
          <w:tcPr>
            <w:tcW w:w="2988" w:type="dxa"/>
            <w:tcMar>
              <w:top w:w="100" w:type="nil"/>
              <w:right w:w="100" w:type="nil"/>
            </w:tcMar>
            <w:vAlign w:val="center"/>
          </w:tcPr>
          <w:p w14:paraId="41DFD8A7"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43876791"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(0.147)</w:t>
            </w:r>
          </w:p>
        </w:tc>
        <w:tc>
          <w:tcPr>
            <w:tcW w:w="2880" w:type="dxa"/>
            <w:tcMar>
              <w:top w:w="100" w:type="nil"/>
              <w:right w:w="100" w:type="nil"/>
            </w:tcMar>
            <w:vAlign w:val="center"/>
          </w:tcPr>
          <w:p w14:paraId="3C9D0AE8"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(0.109)</w:t>
            </w:r>
          </w:p>
        </w:tc>
      </w:tr>
      <w:tr w:rsidR="00DC4883" w:rsidRPr="003D5C01" w14:paraId="610F95E0" w14:textId="77777777" w:rsidTr="00270E36">
        <w:tc>
          <w:tcPr>
            <w:tcW w:w="2988" w:type="dxa"/>
            <w:tcMar>
              <w:top w:w="100" w:type="nil"/>
              <w:right w:w="100" w:type="nil"/>
            </w:tcMar>
            <w:vAlign w:val="center"/>
          </w:tcPr>
          <w:p w14:paraId="07087EE6"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6BF8F812"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4951C56C"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45BFA08C" w14:textId="77777777" w:rsidTr="00270E36">
        <w:tc>
          <w:tcPr>
            <w:tcW w:w="2988" w:type="dxa"/>
            <w:tcMar>
              <w:top w:w="100" w:type="nil"/>
              <w:right w:w="100" w:type="nil"/>
            </w:tcMar>
            <w:vAlign w:val="center"/>
          </w:tcPr>
          <w:p w14:paraId="2DF5A3D1"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Other</w:t>
            </w:r>
          </w:p>
        </w:tc>
        <w:tc>
          <w:tcPr>
            <w:tcW w:w="2880" w:type="dxa"/>
            <w:tcMar>
              <w:top w:w="100" w:type="nil"/>
              <w:right w:w="100" w:type="nil"/>
            </w:tcMar>
            <w:vAlign w:val="center"/>
          </w:tcPr>
          <w:p w14:paraId="439A62EA"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0.214</w:t>
            </w:r>
          </w:p>
        </w:tc>
        <w:tc>
          <w:tcPr>
            <w:tcW w:w="2880" w:type="dxa"/>
            <w:tcMar>
              <w:top w:w="100" w:type="nil"/>
              <w:right w:w="100" w:type="nil"/>
            </w:tcMar>
            <w:vAlign w:val="center"/>
          </w:tcPr>
          <w:p w14:paraId="14D18A9F"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0.173</w:t>
            </w:r>
          </w:p>
        </w:tc>
      </w:tr>
      <w:tr w:rsidR="00DC4883" w:rsidRPr="003D5C01" w14:paraId="2C236DB2" w14:textId="77777777" w:rsidTr="00270E36">
        <w:tc>
          <w:tcPr>
            <w:tcW w:w="2988" w:type="dxa"/>
            <w:tcMar>
              <w:top w:w="100" w:type="nil"/>
              <w:right w:w="100" w:type="nil"/>
            </w:tcMar>
            <w:vAlign w:val="center"/>
          </w:tcPr>
          <w:p w14:paraId="637EE9D5"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16DD7B74"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(0.199)</w:t>
            </w:r>
          </w:p>
        </w:tc>
        <w:tc>
          <w:tcPr>
            <w:tcW w:w="2880" w:type="dxa"/>
            <w:tcMar>
              <w:top w:w="100" w:type="nil"/>
              <w:right w:w="100" w:type="nil"/>
            </w:tcMar>
            <w:vAlign w:val="center"/>
          </w:tcPr>
          <w:p w14:paraId="49D5DA45"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(0.181)</w:t>
            </w:r>
          </w:p>
        </w:tc>
      </w:tr>
      <w:tr w:rsidR="00DC4883" w:rsidRPr="003D5C01" w14:paraId="317C8B3E" w14:textId="77777777" w:rsidTr="00270E36">
        <w:tc>
          <w:tcPr>
            <w:tcW w:w="2988" w:type="dxa"/>
            <w:tcMar>
              <w:top w:w="100" w:type="nil"/>
              <w:right w:w="100" w:type="nil"/>
            </w:tcMar>
            <w:vAlign w:val="center"/>
          </w:tcPr>
          <w:p w14:paraId="66341D54"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78560D48"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18488755"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3AA8FB38" w14:textId="77777777" w:rsidTr="00270E36">
        <w:tc>
          <w:tcPr>
            <w:tcW w:w="2988" w:type="dxa"/>
            <w:tcMar>
              <w:top w:w="100" w:type="nil"/>
              <w:right w:w="100" w:type="nil"/>
            </w:tcMar>
            <w:vAlign w:val="center"/>
          </w:tcPr>
          <w:p w14:paraId="11F68851" w14:textId="77777777" w:rsidR="00DC4883" w:rsidRPr="003D5C01" w:rsidRDefault="00DC4883" w:rsidP="00270E36">
            <w:pPr>
              <w:autoSpaceDE w:val="0"/>
              <w:autoSpaceDN w:val="0"/>
              <w:adjustRightInd w:val="0"/>
              <w:rPr>
                <w:rFonts w:ascii="Times New Roman" w:hAnsi="Times New Roman"/>
                <w:b/>
                <w:bCs/>
                <w:i/>
                <w:iCs/>
                <w:sz w:val="16"/>
                <w:szCs w:val="16"/>
              </w:rPr>
            </w:pPr>
            <w:r w:rsidRPr="003D5C01">
              <w:rPr>
                <w:rFonts w:ascii="Times New Roman" w:hAnsi="Times New Roman"/>
                <w:b/>
                <w:bCs/>
                <w:i/>
                <w:iCs/>
                <w:sz w:val="16"/>
                <w:szCs w:val="16"/>
              </w:rPr>
              <w:t>Patent</w:t>
            </w:r>
          </w:p>
        </w:tc>
        <w:tc>
          <w:tcPr>
            <w:tcW w:w="2880" w:type="dxa"/>
            <w:tcMar>
              <w:top w:w="100" w:type="nil"/>
              <w:right w:w="100" w:type="nil"/>
            </w:tcMar>
            <w:vAlign w:val="center"/>
          </w:tcPr>
          <w:p w14:paraId="39D84725" w14:textId="77777777" w:rsidR="00DC4883" w:rsidRPr="003D5C01" w:rsidRDefault="00DC4883" w:rsidP="00270E36">
            <w:pPr>
              <w:autoSpaceDE w:val="0"/>
              <w:autoSpaceDN w:val="0"/>
              <w:adjustRightInd w:val="0"/>
              <w:jc w:val="center"/>
              <w:rPr>
                <w:rFonts w:ascii="Times New Roman" w:hAnsi="Times New Roman"/>
                <w:sz w:val="16"/>
                <w:szCs w:val="16"/>
              </w:rPr>
            </w:pPr>
          </w:p>
        </w:tc>
        <w:tc>
          <w:tcPr>
            <w:tcW w:w="2880" w:type="dxa"/>
            <w:tcMar>
              <w:top w:w="100" w:type="nil"/>
              <w:right w:w="100" w:type="nil"/>
            </w:tcMar>
            <w:vAlign w:val="center"/>
          </w:tcPr>
          <w:p w14:paraId="392E275D" w14:textId="77777777" w:rsidR="00DC4883" w:rsidRPr="003D5C01" w:rsidRDefault="00DC4883" w:rsidP="00270E36">
            <w:pPr>
              <w:autoSpaceDE w:val="0"/>
              <w:autoSpaceDN w:val="0"/>
              <w:adjustRightInd w:val="0"/>
              <w:jc w:val="center"/>
              <w:rPr>
                <w:rFonts w:ascii="Times New Roman" w:hAnsi="Times New Roman"/>
                <w:sz w:val="16"/>
                <w:szCs w:val="16"/>
              </w:rPr>
            </w:pPr>
          </w:p>
        </w:tc>
      </w:tr>
      <w:tr w:rsidR="00DC4883" w:rsidRPr="003D5C01" w14:paraId="29FD4DAB" w14:textId="77777777" w:rsidTr="00270E36">
        <w:tc>
          <w:tcPr>
            <w:tcW w:w="2988" w:type="dxa"/>
            <w:tcMar>
              <w:top w:w="100" w:type="nil"/>
              <w:right w:w="100" w:type="nil"/>
            </w:tcMar>
            <w:vAlign w:val="center"/>
          </w:tcPr>
          <w:p w14:paraId="7FBA646A"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Same Tech</w:t>
            </w:r>
          </w:p>
        </w:tc>
        <w:tc>
          <w:tcPr>
            <w:tcW w:w="2880" w:type="dxa"/>
            <w:tcMar>
              <w:top w:w="100" w:type="nil"/>
              <w:right w:w="100" w:type="nil"/>
            </w:tcMar>
            <w:vAlign w:val="center"/>
          </w:tcPr>
          <w:p w14:paraId="2CAB24E1"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-0.00990</w:t>
            </w:r>
          </w:p>
        </w:tc>
        <w:tc>
          <w:tcPr>
            <w:tcW w:w="2880" w:type="dxa"/>
            <w:tcMar>
              <w:top w:w="100" w:type="nil"/>
              <w:right w:w="100" w:type="nil"/>
            </w:tcMar>
            <w:vAlign w:val="center"/>
          </w:tcPr>
          <w:p w14:paraId="3CB294A5"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0.0156</w:t>
            </w:r>
          </w:p>
        </w:tc>
      </w:tr>
      <w:tr w:rsidR="00DC4883" w:rsidRPr="003D5C01" w14:paraId="74AE9DE7" w14:textId="77777777" w:rsidTr="00270E36">
        <w:tc>
          <w:tcPr>
            <w:tcW w:w="2988" w:type="dxa"/>
            <w:tcMar>
              <w:top w:w="100" w:type="nil"/>
              <w:right w:w="100" w:type="nil"/>
            </w:tcMar>
            <w:vAlign w:val="center"/>
          </w:tcPr>
          <w:p w14:paraId="759956C9"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16A349AB"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(0.0978)</w:t>
            </w:r>
          </w:p>
        </w:tc>
        <w:tc>
          <w:tcPr>
            <w:tcW w:w="2880" w:type="dxa"/>
            <w:tcMar>
              <w:top w:w="100" w:type="nil"/>
              <w:right w:w="100" w:type="nil"/>
            </w:tcMar>
            <w:vAlign w:val="center"/>
          </w:tcPr>
          <w:p w14:paraId="114DE749"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(0.0829)</w:t>
            </w:r>
          </w:p>
        </w:tc>
      </w:tr>
      <w:tr w:rsidR="00DC4883" w:rsidRPr="003D5C01" w14:paraId="7B0D7A33" w14:textId="77777777" w:rsidTr="00270E36">
        <w:tc>
          <w:tcPr>
            <w:tcW w:w="2988" w:type="dxa"/>
            <w:tcMar>
              <w:top w:w="100" w:type="nil"/>
              <w:right w:w="100" w:type="nil"/>
            </w:tcMar>
            <w:vAlign w:val="center"/>
          </w:tcPr>
          <w:p w14:paraId="69ECA492"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36726668" w14:textId="77777777" w:rsidR="00DC4883" w:rsidRPr="003D5C01" w:rsidRDefault="00DC4883" w:rsidP="00270E36">
            <w:pPr>
              <w:autoSpaceDE w:val="0"/>
              <w:autoSpaceDN w:val="0"/>
              <w:adjustRightInd w:val="0"/>
              <w:jc w:val="center"/>
              <w:rPr>
                <w:rFonts w:ascii="Times New Roman" w:hAnsi="Times New Roman"/>
                <w:sz w:val="16"/>
                <w:szCs w:val="16"/>
              </w:rPr>
            </w:pPr>
          </w:p>
        </w:tc>
        <w:tc>
          <w:tcPr>
            <w:tcW w:w="2880" w:type="dxa"/>
            <w:tcMar>
              <w:top w:w="100" w:type="nil"/>
              <w:right w:w="100" w:type="nil"/>
            </w:tcMar>
            <w:vAlign w:val="center"/>
          </w:tcPr>
          <w:p w14:paraId="5DCF76CD" w14:textId="77777777" w:rsidR="00DC4883" w:rsidRPr="003D5C01" w:rsidRDefault="00DC4883" w:rsidP="00270E36">
            <w:pPr>
              <w:autoSpaceDE w:val="0"/>
              <w:autoSpaceDN w:val="0"/>
              <w:adjustRightInd w:val="0"/>
              <w:jc w:val="center"/>
              <w:rPr>
                <w:rFonts w:ascii="Times New Roman" w:hAnsi="Times New Roman"/>
                <w:sz w:val="16"/>
                <w:szCs w:val="16"/>
              </w:rPr>
            </w:pPr>
          </w:p>
        </w:tc>
      </w:tr>
      <w:tr w:rsidR="00DC4883" w:rsidRPr="003D5C01" w14:paraId="77F9107F" w14:textId="77777777" w:rsidTr="00270E36">
        <w:tc>
          <w:tcPr>
            <w:tcW w:w="2988" w:type="dxa"/>
            <w:tcMar>
              <w:top w:w="100" w:type="nil"/>
              <w:right w:w="100" w:type="nil"/>
            </w:tcMar>
            <w:vAlign w:val="center"/>
          </w:tcPr>
          <w:p w14:paraId="4F15EDAA"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Word Count</w:t>
            </w:r>
          </w:p>
        </w:tc>
        <w:tc>
          <w:tcPr>
            <w:tcW w:w="2880" w:type="dxa"/>
            <w:tcMar>
              <w:top w:w="100" w:type="nil"/>
              <w:right w:w="100" w:type="nil"/>
            </w:tcMar>
            <w:vAlign w:val="center"/>
          </w:tcPr>
          <w:p w14:paraId="174B6568"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-0.00108</w:t>
            </w:r>
            <w:r w:rsidRPr="003D5C01">
              <w:rPr>
                <w:rFonts w:ascii="Times New Roman" w:hAnsi="Times New Roman"/>
                <w:sz w:val="16"/>
                <w:szCs w:val="16"/>
                <w:vertAlign w:val="superscript"/>
              </w:rPr>
              <w:t>*</w:t>
            </w:r>
          </w:p>
        </w:tc>
        <w:tc>
          <w:tcPr>
            <w:tcW w:w="2880" w:type="dxa"/>
            <w:tcMar>
              <w:top w:w="100" w:type="nil"/>
              <w:right w:w="100" w:type="nil"/>
            </w:tcMar>
            <w:vAlign w:val="center"/>
          </w:tcPr>
          <w:p w14:paraId="427E07AB"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-0.00123</w:t>
            </w:r>
            <w:r w:rsidRPr="003D5C01">
              <w:rPr>
                <w:rFonts w:ascii="Times New Roman" w:hAnsi="Times New Roman"/>
                <w:sz w:val="16"/>
                <w:szCs w:val="16"/>
                <w:vertAlign w:val="superscript"/>
              </w:rPr>
              <w:t>***</w:t>
            </w:r>
          </w:p>
        </w:tc>
      </w:tr>
      <w:tr w:rsidR="00DC4883" w:rsidRPr="003D5C01" w14:paraId="6A21E45B" w14:textId="77777777" w:rsidTr="00270E36">
        <w:tc>
          <w:tcPr>
            <w:tcW w:w="2988" w:type="dxa"/>
            <w:tcMar>
              <w:top w:w="100" w:type="nil"/>
              <w:right w:w="100" w:type="nil"/>
            </w:tcMar>
            <w:vAlign w:val="center"/>
          </w:tcPr>
          <w:p w14:paraId="28FACF20"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38E8C32F"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(0.0004)</w:t>
            </w:r>
          </w:p>
        </w:tc>
        <w:tc>
          <w:tcPr>
            <w:tcW w:w="2880" w:type="dxa"/>
            <w:tcMar>
              <w:top w:w="100" w:type="nil"/>
              <w:right w:w="100" w:type="nil"/>
            </w:tcMar>
            <w:vAlign w:val="center"/>
          </w:tcPr>
          <w:p w14:paraId="5494C3A1"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(0.000</w:t>
            </w:r>
            <w:r>
              <w:rPr>
                <w:rFonts w:ascii="Times New Roman" w:hAnsi="Times New Roman"/>
                <w:sz w:val="16"/>
                <w:szCs w:val="16"/>
              </w:rPr>
              <w:t>3</w:t>
            </w:r>
            <w:r w:rsidRPr="003D5C01">
              <w:rPr>
                <w:rFonts w:ascii="Times New Roman" w:hAnsi="Times New Roman"/>
                <w:sz w:val="16"/>
                <w:szCs w:val="16"/>
              </w:rPr>
              <w:t>)</w:t>
            </w:r>
          </w:p>
        </w:tc>
      </w:tr>
      <w:tr w:rsidR="00DC4883" w:rsidRPr="003D5C01" w14:paraId="293EB001" w14:textId="77777777" w:rsidTr="00270E36">
        <w:tc>
          <w:tcPr>
            <w:tcW w:w="2988" w:type="dxa"/>
            <w:tcMar>
              <w:top w:w="100" w:type="nil"/>
              <w:right w:w="100" w:type="nil"/>
            </w:tcMar>
            <w:vAlign w:val="center"/>
          </w:tcPr>
          <w:p w14:paraId="31427457" w14:textId="77777777" w:rsidR="00DC4883" w:rsidRPr="003D5C01" w:rsidRDefault="00DC4883" w:rsidP="00270E36">
            <w:pPr>
              <w:autoSpaceDE w:val="0"/>
              <w:autoSpaceDN w:val="0"/>
              <w:adjustRightInd w:val="0"/>
              <w:rPr>
                <w:rFonts w:ascii="Times New Roman" w:hAnsi="Times New Roman"/>
                <w:b/>
                <w:bCs/>
                <w:i/>
                <w:iCs/>
                <w:sz w:val="16"/>
                <w:szCs w:val="16"/>
              </w:rPr>
            </w:pPr>
            <w:r w:rsidRPr="003D5C01">
              <w:rPr>
                <w:rFonts w:ascii="Times New Roman" w:hAnsi="Times New Roman"/>
                <w:b/>
                <w:bCs/>
                <w:i/>
                <w:iCs/>
                <w:sz w:val="16"/>
                <w:szCs w:val="16"/>
              </w:rPr>
              <w:t>Panel</w:t>
            </w:r>
          </w:p>
        </w:tc>
        <w:tc>
          <w:tcPr>
            <w:tcW w:w="2880" w:type="dxa"/>
            <w:tcMar>
              <w:top w:w="100" w:type="nil"/>
              <w:right w:w="100" w:type="nil"/>
            </w:tcMar>
            <w:vAlign w:val="center"/>
          </w:tcPr>
          <w:p w14:paraId="5D75FC0E" w14:textId="77777777" w:rsidR="00DC4883" w:rsidRPr="003D5C01" w:rsidRDefault="00DC4883" w:rsidP="00270E36">
            <w:pPr>
              <w:autoSpaceDE w:val="0"/>
              <w:autoSpaceDN w:val="0"/>
              <w:adjustRightInd w:val="0"/>
              <w:jc w:val="center"/>
              <w:rPr>
                <w:rFonts w:ascii="Times New Roman" w:hAnsi="Times New Roman"/>
                <w:sz w:val="16"/>
                <w:szCs w:val="16"/>
              </w:rPr>
            </w:pPr>
          </w:p>
        </w:tc>
        <w:tc>
          <w:tcPr>
            <w:tcW w:w="2880" w:type="dxa"/>
            <w:tcMar>
              <w:top w:w="100" w:type="nil"/>
              <w:right w:w="100" w:type="nil"/>
            </w:tcMar>
            <w:vAlign w:val="center"/>
          </w:tcPr>
          <w:p w14:paraId="125385BF" w14:textId="77777777" w:rsidR="00DC4883" w:rsidRPr="003D5C01" w:rsidRDefault="00DC4883" w:rsidP="00270E36">
            <w:pPr>
              <w:autoSpaceDE w:val="0"/>
              <w:autoSpaceDN w:val="0"/>
              <w:adjustRightInd w:val="0"/>
              <w:jc w:val="center"/>
              <w:rPr>
                <w:rFonts w:ascii="Times New Roman" w:hAnsi="Times New Roman"/>
                <w:sz w:val="16"/>
                <w:szCs w:val="16"/>
              </w:rPr>
            </w:pPr>
          </w:p>
        </w:tc>
      </w:tr>
      <w:tr w:rsidR="00DC4883" w:rsidRPr="003D5C01" w14:paraId="544E4AE6" w14:textId="77777777" w:rsidTr="00270E36">
        <w:tc>
          <w:tcPr>
            <w:tcW w:w="2988" w:type="dxa"/>
            <w:tcMar>
              <w:top w:w="100" w:type="nil"/>
              <w:right w:w="100" w:type="nil"/>
            </w:tcMar>
            <w:vAlign w:val="center"/>
          </w:tcPr>
          <w:p w14:paraId="64F2D201"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Author</w:t>
            </w:r>
          </w:p>
        </w:tc>
        <w:tc>
          <w:tcPr>
            <w:tcW w:w="2880" w:type="dxa"/>
            <w:tcMar>
              <w:top w:w="100" w:type="nil"/>
              <w:right w:w="100" w:type="nil"/>
            </w:tcMar>
            <w:vAlign w:val="center"/>
          </w:tcPr>
          <w:p w14:paraId="526F60AE" w14:textId="77777777" w:rsidR="00DC4883" w:rsidRPr="003D5C01" w:rsidRDefault="00DC4883" w:rsidP="00270E36">
            <w:pPr>
              <w:autoSpaceDE w:val="0"/>
              <w:autoSpaceDN w:val="0"/>
              <w:adjustRightInd w:val="0"/>
              <w:jc w:val="center"/>
              <w:rPr>
                <w:rFonts w:ascii="Times New Roman" w:hAnsi="Times New Roman"/>
                <w:sz w:val="16"/>
                <w:szCs w:val="16"/>
              </w:rPr>
            </w:pPr>
          </w:p>
        </w:tc>
        <w:tc>
          <w:tcPr>
            <w:tcW w:w="2880" w:type="dxa"/>
            <w:tcMar>
              <w:top w:w="100" w:type="nil"/>
              <w:right w:w="100" w:type="nil"/>
            </w:tcMar>
            <w:vAlign w:val="center"/>
          </w:tcPr>
          <w:p w14:paraId="15DCD7C5" w14:textId="7DFBCE4A"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-0.00</w:t>
            </w:r>
            <w:r w:rsidR="0089597C">
              <w:rPr>
                <w:rFonts w:ascii="Times New Roman" w:hAnsi="Times New Roman"/>
                <w:sz w:val="16"/>
                <w:szCs w:val="16"/>
              </w:rPr>
              <w:t>3</w:t>
            </w:r>
          </w:p>
        </w:tc>
      </w:tr>
      <w:tr w:rsidR="00DC4883" w:rsidRPr="003D5C01" w14:paraId="5E50B5A9" w14:textId="77777777" w:rsidTr="00270E36">
        <w:tc>
          <w:tcPr>
            <w:tcW w:w="2988" w:type="dxa"/>
            <w:tcMar>
              <w:top w:w="100" w:type="nil"/>
              <w:right w:w="100" w:type="nil"/>
            </w:tcMar>
            <w:vAlign w:val="center"/>
          </w:tcPr>
          <w:p w14:paraId="5A9C4B72"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390731DA" w14:textId="77777777" w:rsidR="00DC4883" w:rsidRPr="003D5C01" w:rsidRDefault="00DC4883" w:rsidP="00270E36">
            <w:pPr>
              <w:autoSpaceDE w:val="0"/>
              <w:autoSpaceDN w:val="0"/>
              <w:adjustRightInd w:val="0"/>
              <w:jc w:val="center"/>
              <w:rPr>
                <w:rFonts w:ascii="Times New Roman" w:hAnsi="Times New Roman"/>
                <w:sz w:val="16"/>
                <w:szCs w:val="16"/>
              </w:rPr>
            </w:pPr>
          </w:p>
        </w:tc>
        <w:tc>
          <w:tcPr>
            <w:tcW w:w="2880" w:type="dxa"/>
            <w:tcMar>
              <w:top w:w="100" w:type="nil"/>
              <w:right w:w="100" w:type="nil"/>
            </w:tcMar>
            <w:vAlign w:val="center"/>
          </w:tcPr>
          <w:p w14:paraId="64103F13" w14:textId="7168C7AF"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(0.00</w:t>
            </w:r>
            <w:r w:rsidR="0089597C">
              <w:rPr>
                <w:rFonts w:ascii="Times New Roman" w:hAnsi="Times New Roman"/>
                <w:sz w:val="16"/>
                <w:szCs w:val="16"/>
              </w:rPr>
              <w:t>6</w:t>
            </w:r>
            <w:r w:rsidRPr="003D5C01">
              <w:rPr>
                <w:rFonts w:ascii="Times New Roman" w:hAnsi="Times New Roman"/>
                <w:sz w:val="16"/>
                <w:szCs w:val="16"/>
              </w:rPr>
              <w:t>)</w:t>
            </w:r>
          </w:p>
        </w:tc>
      </w:tr>
      <w:tr w:rsidR="00DC4883" w:rsidRPr="003D5C01" w14:paraId="7AC46401" w14:textId="77777777" w:rsidTr="00270E36">
        <w:tc>
          <w:tcPr>
            <w:tcW w:w="2988" w:type="dxa"/>
            <w:tcBorders>
              <w:bottom w:val="single" w:sz="4" w:space="0" w:color="auto"/>
            </w:tcBorders>
            <w:tcMar>
              <w:top w:w="100" w:type="nil"/>
              <w:right w:w="100" w:type="nil"/>
            </w:tcMar>
            <w:vAlign w:val="center"/>
          </w:tcPr>
          <w:p w14:paraId="5955F49A"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Borders>
              <w:bottom w:val="single" w:sz="4" w:space="0" w:color="auto"/>
            </w:tcBorders>
            <w:tcMar>
              <w:top w:w="100" w:type="nil"/>
              <w:right w:w="100" w:type="nil"/>
            </w:tcMar>
            <w:vAlign w:val="center"/>
          </w:tcPr>
          <w:p w14:paraId="51959A7A"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Borders>
              <w:bottom w:val="single" w:sz="4" w:space="0" w:color="auto"/>
            </w:tcBorders>
            <w:tcMar>
              <w:top w:w="100" w:type="nil"/>
              <w:right w:w="100" w:type="nil"/>
            </w:tcMar>
            <w:vAlign w:val="center"/>
          </w:tcPr>
          <w:p w14:paraId="73540EB0" w14:textId="77777777" w:rsidR="00DC4883" w:rsidRPr="003D5C01" w:rsidRDefault="00DC4883" w:rsidP="00270E36">
            <w:pPr>
              <w:autoSpaceDE w:val="0"/>
              <w:autoSpaceDN w:val="0"/>
              <w:adjustRightInd w:val="0"/>
              <w:rPr>
                <w:rFonts w:ascii="Times New Roman" w:hAnsi="Times New Roman"/>
                <w:sz w:val="16"/>
                <w:szCs w:val="16"/>
              </w:rPr>
            </w:pPr>
          </w:p>
        </w:tc>
      </w:tr>
      <w:tr w:rsidR="00DC4883" w:rsidRPr="003D5C01" w14:paraId="4A4860E2" w14:textId="77777777" w:rsidTr="00270E36">
        <w:tc>
          <w:tcPr>
            <w:tcW w:w="2988" w:type="dxa"/>
            <w:tcBorders>
              <w:top w:val="single" w:sz="4" w:space="0" w:color="auto"/>
            </w:tcBorders>
            <w:tcMar>
              <w:top w:w="100" w:type="nil"/>
              <w:right w:w="100" w:type="nil"/>
            </w:tcMar>
            <w:vAlign w:val="center"/>
          </w:tcPr>
          <w:p w14:paraId="5B3D741F"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Year Fixed Effects</w:t>
            </w:r>
          </w:p>
        </w:tc>
        <w:tc>
          <w:tcPr>
            <w:tcW w:w="2880" w:type="dxa"/>
            <w:tcBorders>
              <w:top w:val="single" w:sz="4" w:space="0" w:color="auto"/>
            </w:tcBorders>
            <w:tcMar>
              <w:top w:w="100" w:type="nil"/>
              <w:right w:w="100" w:type="nil"/>
            </w:tcMar>
            <w:vAlign w:val="center"/>
          </w:tcPr>
          <w:p w14:paraId="5F9CA98B"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Yes</w:t>
            </w:r>
          </w:p>
        </w:tc>
        <w:tc>
          <w:tcPr>
            <w:tcW w:w="2880" w:type="dxa"/>
            <w:tcBorders>
              <w:top w:val="single" w:sz="4" w:space="0" w:color="auto"/>
            </w:tcBorders>
            <w:tcMar>
              <w:top w:w="100" w:type="nil"/>
              <w:right w:w="100" w:type="nil"/>
            </w:tcMar>
            <w:vAlign w:val="center"/>
          </w:tcPr>
          <w:p w14:paraId="182122FF"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Yes</w:t>
            </w:r>
          </w:p>
        </w:tc>
      </w:tr>
      <w:tr w:rsidR="00DC4883" w:rsidRPr="003D5C01" w14:paraId="141EA312" w14:textId="77777777" w:rsidTr="00270E36">
        <w:trPr>
          <w:trHeight w:val="169"/>
        </w:trPr>
        <w:tc>
          <w:tcPr>
            <w:tcW w:w="2988" w:type="dxa"/>
            <w:tcBorders>
              <w:bottom w:val="single" w:sz="4" w:space="0" w:color="auto"/>
            </w:tcBorders>
            <w:tcMar>
              <w:top w:w="100" w:type="nil"/>
              <w:right w:w="100" w:type="nil"/>
            </w:tcMar>
            <w:vAlign w:val="center"/>
          </w:tcPr>
          <w:p w14:paraId="55B9AC8B"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sz w:val="16"/>
                <w:szCs w:val="16"/>
              </w:rPr>
              <w:t>_cons</w:t>
            </w:r>
          </w:p>
        </w:tc>
        <w:tc>
          <w:tcPr>
            <w:tcW w:w="2880" w:type="dxa"/>
            <w:tcBorders>
              <w:bottom w:val="single" w:sz="4" w:space="0" w:color="auto"/>
            </w:tcBorders>
            <w:tcMar>
              <w:top w:w="100" w:type="nil"/>
              <w:right w:w="100" w:type="nil"/>
            </w:tcMar>
            <w:vAlign w:val="center"/>
          </w:tcPr>
          <w:p w14:paraId="4F1D46A8"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-0.394</w:t>
            </w:r>
          </w:p>
        </w:tc>
        <w:tc>
          <w:tcPr>
            <w:tcW w:w="2880" w:type="dxa"/>
            <w:tcBorders>
              <w:bottom w:val="single" w:sz="4" w:space="0" w:color="auto"/>
            </w:tcBorders>
            <w:tcMar>
              <w:top w:w="100" w:type="nil"/>
              <w:right w:w="100" w:type="nil"/>
            </w:tcMar>
            <w:vAlign w:val="center"/>
          </w:tcPr>
          <w:p w14:paraId="312C8608"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-0.272</w:t>
            </w:r>
          </w:p>
        </w:tc>
      </w:tr>
      <w:tr w:rsidR="00DC4883" w:rsidRPr="003D5C01" w14:paraId="5B66A4E6" w14:textId="77777777" w:rsidTr="00270E36">
        <w:tc>
          <w:tcPr>
            <w:tcW w:w="2988" w:type="dxa"/>
            <w:tcBorders>
              <w:top w:val="single" w:sz="4" w:space="0" w:color="auto"/>
            </w:tcBorders>
            <w:tcMar>
              <w:top w:w="100" w:type="nil"/>
              <w:right w:w="100" w:type="nil"/>
            </w:tcMar>
            <w:vAlign w:val="center"/>
          </w:tcPr>
          <w:p w14:paraId="7662ABEC" w14:textId="77777777" w:rsidR="00DC4883" w:rsidRPr="003D5C01" w:rsidRDefault="00DC4883" w:rsidP="00270E36">
            <w:pPr>
              <w:autoSpaceDE w:val="0"/>
              <w:autoSpaceDN w:val="0"/>
              <w:adjustRightInd w:val="0"/>
              <w:rPr>
                <w:rFonts w:ascii="Times New Roman" w:hAnsi="Times New Roman"/>
                <w:sz w:val="16"/>
                <w:szCs w:val="16"/>
              </w:rPr>
            </w:pPr>
          </w:p>
        </w:tc>
        <w:tc>
          <w:tcPr>
            <w:tcW w:w="2880" w:type="dxa"/>
            <w:tcMar>
              <w:top w:w="100" w:type="nil"/>
              <w:right w:w="100" w:type="nil"/>
            </w:tcMar>
            <w:vAlign w:val="center"/>
          </w:tcPr>
          <w:p w14:paraId="426A7A64"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(0.547)</w:t>
            </w:r>
          </w:p>
        </w:tc>
        <w:tc>
          <w:tcPr>
            <w:tcW w:w="2880" w:type="dxa"/>
            <w:tcMar>
              <w:top w:w="100" w:type="nil"/>
              <w:right w:w="100" w:type="nil"/>
            </w:tcMar>
            <w:vAlign w:val="center"/>
          </w:tcPr>
          <w:p w14:paraId="09E61956"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(0.433)</w:t>
            </w:r>
          </w:p>
        </w:tc>
      </w:tr>
      <w:tr w:rsidR="00DC4883" w:rsidRPr="003D5C01" w14:paraId="4610F957" w14:textId="77777777" w:rsidTr="00270E36">
        <w:tc>
          <w:tcPr>
            <w:tcW w:w="2988" w:type="dxa"/>
            <w:tcMar>
              <w:top w:w="100" w:type="nil"/>
              <w:right w:w="100" w:type="nil"/>
            </w:tcMar>
            <w:vAlign w:val="center"/>
          </w:tcPr>
          <w:p w14:paraId="0BD0EF4A" w14:textId="77777777" w:rsidR="00DC4883" w:rsidRPr="003D5C01" w:rsidRDefault="00DC4883" w:rsidP="00270E36">
            <w:pPr>
              <w:autoSpaceDE w:val="0"/>
              <w:autoSpaceDN w:val="0"/>
              <w:adjustRightInd w:val="0"/>
              <w:rPr>
                <w:rFonts w:ascii="Times New Roman" w:hAnsi="Times New Roman"/>
                <w:sz w:val="16"/>
                <w:szCs w:val="16"/>
              </w:rPr>
            </w:pPr>
            <w:r w:rsidRPr="003D5C01">
              <w:rPr>
                <w:rFonts w:ascii="Times New Roman" w:hAnsi="Times New Roman"/>
                <w:i/>
                <w:iCs/>
                <w:sz w:val="16"/>
                <w:szCs w:val="16"/>
              </w:rPr>
              <w:t>N</w:t>
            </w:r>
          </w:p>
        </w:tc>
        <w:tc>
          <w:tcPr>
            <w:tcW w:w="2880" w:type="dxa"/>
            <w:tcMar>
              <w:top w:w="100" w:type="nil"/>
              <w:right w:w="100" w:type="nil"/>
            </w:tcMar>
            <w:vAlign w:val="center"/>
          </w:tcPr>
          <w:p w14:paraId="6978944A"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6363</w:t>
            </w:r>
          </w:p>
        </w:tc>
        <w:tc>
          <w:tcPr>
            <w:tcW w:w="2880" w:type="dxa"/>
            <w:tcMar>
              <w:top w:w="100" w:type="nil"/>
              <w:right w:w="100" w:type="nil"/>
            </w:tcMar>
            <w:vAlign w:val="center"/>
          </w:tcPr>
          <w:p w14:paraId="51DDD3BE" w14:textId="77777777" w:rsidR="00DC4883" w:rsidRPr="003D5C01" w:rsidRDefault="00DC4883" w:rsidP="00270E36">
            <w:pPr>
              <w:autoSpaceDE w:val="0"/>
              <w:autoSpaceDN w:val="0"/>
              <w:adjustRightInd w:val="0"/>
              <w:jc w:val="center"/>
              <w:rPr>
                <w:rFonts w:ascii="Times New Roman" w:hAnsi="Times New Roman"/>
                <w:sz w:val="16"/>
                <w:szCs w:val="16"/>
              </w:rPr>
            </w:pPr>
            <w:r w:rsidRPr="003D5C01">
              <w:rPr>
                <w:rFonts w:ascii="Times New Roman" w:hAnsi="Times New Roman"/>
                <w:sz w:val="16"/>
                <w:szCs w:val="16"/>
              </w:rPr>
              <w:t>17440</w:t>
            </w:r>
          </w:p>
        </w:tc>
      </w:tr>
      <w:tr w:rsidR="00DC4883" w:rsidRPr="003D5C01" w14:paraId="5C72538A" w14:textId="77777777" w:rsidTr="00270E36">
        <w:tc>
          <w:tcPr>
            <w:tcW w:w="2988" w:type="dxa"/>
            <w:tcBorders>
              <w:bottom w:val="single" w:sz="4" w:space="0" w:color="auto"/>
            </w:tcBorders>
            <w:tcMar>
              <w:top w:w="100" w:type="nil"/>
              <w:right w:w="100" w:type="nil"/>
            </w:tcMar>
            <w:vAlign w:val="center"/>
          </w:tcPr>
          <w:p w14:paraId="143A45DE" w14:textId="77777777" w:rsidR="00DC4883" w:rsidRPr="003D5C01" w:rsidRDefault="00DC4883" w:rsidP="00270E36">
            <w:pPr>
              <w:autoSpaceDE w:val="0"/>
              <w:autoSpaceDN w:val="0"/>
              <w:adjustRightInd w:val="0"/>
              <w:rPr>
                <w:rFonts w:ascii="Times New Roman" w:hAnsi="Times New Roman"/>
                <w:sz w:val="16"/>
                <w:szCs w:val="16"/>
              </w:rPr>
            </w:pPr>
            <w:r>
              <w:rPr>
                <w:rFonts w:ascii="Times New Roman" w:hAnsi="Times New Roman"/>
                <w:i/>
                <w:iCs/>
                <w:sz w:val="16"/>
                <w:szCs w:val="16"/>
              </w:rPr>
              <w:t xml:space="preserve">Pseudo </w:t>
            </w:r>
            <w:r w:rsidRPr="003D5C01">
              <w:rPr>
                <w:rFonts w:ascii="Times New Roman" w:hAnsi="Times New Roman"/>
                <w:i/>
                <w:iCs/>
                <w:sz w:val="16"/>
                <w:szCs w:val="16"/>
              </w:rPr>
              <w:t>R</w:t>
            </w:r>
            <w:r w:rsidRPr="003D5C01">
              <w:rPr>
                <w:rFonts w:ascii="Times New Roman" w:hAnsi="Times New Roman"/>
                <w:sz w:val="16"/>
                <w:szCs w:val="16"/>
                <w:vertAlign w:val="superscript"/>
              </w:rPr>
              <w:t>2</w:t>
            </w:r>
          </w:p>
        </w:tc>
        <w:tc>
          <w:tcPr>
            <w:tcW w:w="2880" w:type="dxa"/>
            <w:tcBorders>
              <w:bottom w:val="single" w:sz="4" w:space="0" w:color="auto"/>
            </w:tcBorders>
            <w:tcMar>
              <w:top w:w="100" w:type="nil"/>
              <w:right w:w="100" w:type="nil"/>
            </w:tcMar>
            <w:vAlign w:val="center"/>
          </w:tcPr>
          <w:p w14:paraId="1A96FF29" w14:textId="77777777" w:rsidR="00DC4883" w:rsidRPr="003D5C01" w:rsidRDefault="00DC4883" w:rsidP="00270E36">
            <w:pPr>
              <w:autoSpaceDE w:val="0"/>
              <w:autoSpaceDN w:val="0"/>
              <w:adjustRightInd w:val="0"/>
              <w:jc w:val="center"/>
              <w:rPr>
                <w:rFonts w:ascii="Times New Roman" w:hAnsi="Times New Roman"/>
                <w:sz w:val="16"/>
                <w:szCs w:val="16"/>
              </w:rPr>
            </w:pPr>
            <w:r>
              <w:rPr>
                <w:rFonts w:ascii="Times New Roman" w:hAnsi="Times New Roman"/>
                <w:sz w:val="16"/>
                <w:szCs w:val="16"/>
              </w:rPr>
              <w:t>0.0391</w:t>
            </w:r>
          </w:p>
        </w:tc>
        <w:tc>
          <w:tcPr>
            <w:tcW w:w="2880" w:type="dxa"/>
            <w:tcBorders>
              <w:bottom w:val="single" w:sz="4" w:space="0" w:color="auto"/>
            </w:tcBorders>
            <w:tcMar>
              <w:top w:w="100" w:type="nil"/>
              <w:right w:w="100" w:type="nil"/>
            </w:tcMar>
            <w:vAlign w:val="center"/>
          </w:tcPr>
          <w:p w14:paraId="2DC79380" w14:textId="77777777" w:rsidR="00DC4883" w:rsidRPr="003D5C01" w:rsidRDefault="00DC4883" w:rsidP="00270E36">
            <w:pPr>
              <w:autoSpaceDE w:val="0"/>
              <w:autoSpaceDN w:val="0"/>
              <w:adjustRightInd w:val="0"/>
              <w:jc w:val="center"/>
              <w:rPr>
                <w:rFonts w:ascii="Times New Roman" w:hAnsi="Times New Roman"/>
                <w:sz w:val="16"/>
                <w:szCs w:val="16"/>
              </w:rPr>
            </w:pPr>
            <w:r>
              <w:rPr>
                <w:rFonts w:ascii="Times New Roman" w:hAnsi="Times New Roman"/>
                <w:sz w:val="16"/>
                <w:szCs w:val="16"/>
              </w:rPr>
              <w:t>0.0374</w:t>
            </w:r>
          </w:p>
        </w:tc>
      </w:tr>
    </w:tbl>
    <w:p w14:paraId="28FBBE42" w14:textId="77777777" w:rsidR="00DC4883" w:rsidRPr="003D5C01" w:rsidRDefault="00DC4883" w:rsidP="00DC4883">
      <w:pPr>
        <w:autoSpaceDE w:val="0"/>
        <w:autoSpaceDN w:val="0"/>
        <w:adjustRightInd w:val="0"/>
        <w:rPr>
          <w:rFonts w:ascii="Times New Roman" w:hAnsi="Times New Roman"/>
          <w:sz w:val="16"/>
          <w:szCs w:val="16"/>
        </w:rPr>
      </w:pPr>
      <w:r w:rsidRPr="003D5C01">
        <w:rPr>
          <w:rFonts w:ascii="Times New Roman" w:hAnsi="Times New Roman"/>
          <w:sz w:val="16"/>
          <w:szCs w:val="16"/>
        </w:rPr>
        <w:t>Standard errors</w:t>
      </w:r>
      <w:r>
        <w:rPr>
          <w:rFonts w:ascii="Times New Roman" w:hAnsi="Times New Roman"/>
          <w:sz w:val="16"/>
          <w:szCs w:val="16"/>
        </w:rPr>
        <w:t xml:space="preserve"> clustered by judge</w:t>
      </w:r>
      <w:r w:rsidRPr="003D5C01">
        <w:rPr>
          <w:rFonts w:ascii="Times New Roman" w:hAnsi="Times New Roman"/>
          <w:sz w:val="16"/>
          <w:szCs w:val="16"/>
        </w:rPr>
        <w:t xml:space="preserve"> in parentheses</w:t>
      </w:r>
      <w:r>
        <w:rPr>
          <w:rFonts w:ascii="Times New Roman" w:hAnsi="Times New Roman"/>
          <w:sz w:val="16"/>
          <w:szCs w:val="16"/>
        </w:rPr>
        <w:t xml:space="preserve"> in Model 1 and by case in Model 2. </w:t>
      </w:r>
    </w:p>
    <w:p w14:paraId="5CBEBDBF" w14:textId="77777777" w:rsidR="00DC4883" w:rsidRPr="003D5C01" w:rsidRDefault="00DC4883" w:rsidP="00DC4883">
      <w:pPr>
        <w:autoSpaceDE w:val="0"/>
        <w:autoSpaceDN w:val="0"/>
        <w:adjustRightInd w:val="0"/>
        <w:rPr>
          <w:rFonts w:ascii="Times New Roman" w:hAnsi="Times New Roman"/>
          <w:sz w:val="16"/>
          <w:szCs w:val="16"/>
        </w:rPr>
      </w:pPr>
      <w:r w:rsidRPr="003D5C01">
        <w:rPr>
          <w:rFonts w:ascii="Times New Roman" w:hAnsi="Times New Roman"/>
          <w:sz w:val="16"/>
          <w:szCs w:val="16"/>
          <w:vertAlign w:val="superscript"/>
        </w:rPr>
        <w:t>*</w:t>
      </w:r>
      <w:r w:rsidRPr="003D5C01">
        <w:rPr>
          <w:rFonts w:ascii="Times New Roman" w:hAnsi="Times New Roman"/>
          <w:sz w:val="16"/>
          <w:szCs w:val="16"/>
        </w:rPr>
        <w:t xml:space="preserve"> </w:t>
      </w:r>
      <w:r w:rsidRPr="003D5C01">
        <w:rPr>
          <w:rFonts w:ascii="Times New Roman" w:hAnsi="Times New Roman"/>
          <w:i/>
          <w:iCs/>
          <w:sz w:val="16"/>
          <w:szCs w:val="16"/>
        </w:rPr>
        <w:t>p</w:t>
      </w:r>
      <w:r w:rsidRPr="003D5C01">
        <w:rPr>
          <w:rFonts w:ascii="Times New Roman" w:hAnsi="Times New Roman"/>
          <w:sz w:val="16"/>
          <w:szCs w:val="16"/>
        </w:rPr>
        <w:t xml:space="preserve"> &lt; 0.05, </w:t>
      </w:r>
      <w:r w:rsidRPr="003D5C01">
        <w:rPr>
          <w:rFonts w:ascii="Times New Roman" w:hAnsi="Times New Roman"/>
          <w:sz w:val="16"/>
          <w:szCs w:val="16"/>
          <w:vertAlign w:val="superscript"/>
        </w:rPr>
        <w:t>**</w:t>
      </w:r>
      <w:r w:rsidRPr="003D5C01">
        <w:rPr>
          <w:rFonts w:ascii="Times New Roman" w:hAnsi="Times New Roman"/>
          <w:sz w:val="16"/>
          <w:szCs w:val="16"/>
        </w:rPr>
        <w:t xml:space="preserve"> </w:t>
      </w:r>
      <w:r w:rsidRPr="003D5C01">
        <w:rPr>
          <w:rFonts w:ascii="Times New Roman" w:hAnsi="Times New Roman"/>
          <w:i/>
          <w:iCs/>
          <w:sz w:val="16"/>
          <w:szCs w:val="16"/>
        </w:rPr>
        <w:t>p</w:t>
      </w:r>
      <w:r w:rsidRPr="003D5C01">
        <w:rPr>
          <w:rFonts w:ascii="Times New Roman" w:hAnsi="Times New Roman"/>
          <w:sz w:val="16"/>
          <w:szCs w:val="16"/>
        </w:rPr>
        <w:t xml:space="preserve"> &lt; 0.01, </w:t>
      </w:r>
      <w:r w:rsidRPr="003D5C01">
        <w:rPr>
          <w:rFonts w:ascii="Times New Roman" w:hAnsi="Times New Roman"/>
          <w:sz w:val="16"/>
          <w:szCs w:val="16"/>
          <w:vertAlign w:val="superscript"/>
        </w:rPr>
        <w:t>***</w:t>
      </w:r>
      <w:r w:rsidRPr="003D5C01">
        <w:rPr>
          <w:rFonts w:ascii="Times New Roman" w:hAnsi="Times New Roman"/>
          <w:sz w:val="16"/>
          <w:szCs w:val="16"/>
        </w:rPr>
        <w:t xml:space="preserve"> </w:t>
      </w:r>
      <w:r w:rsidRPr="003D5C01">
        <w:rPr>
          <w:rFonts w:ascii="Times New Roman" w:hAnsi="Times New Roman"/>
          <w:i/>
          <w:iCs/>
          <w:sz w:val="16"/>
          <w:szCs w:val="16"/>
        </w:rPr>
        <w:t>p</w:t>
      </w:r>
      <w:r w:rsidRPr="003D5C01">
        <w:rPr>
          <w:rFonts w:ascii="Times New Roman" w:hAnsi="Times New Roman"/>
          <w:sz w:val="16"/>
          <w:szCs w:val="16"/>
        </w:rPr>
        <w:t xml:space="preserve"> &lt; 0.001</w:t>
      </w:r>
    </w:p>
    <w:p w14:paraId="1C822513" w14:textId="77777777" w:rsidR="00DC4883" w:rsidRPr="003D5C01" w:rsidRDefault="00DC4883" w:rsidP="00DC4883">
      <w:pPr>
        <w:autoSpaceDE w:val="0"/>
        <w:autoSpaceDN w:val="0"/>
        <w:adjustRightInd w:val="0"/>
        <w:rPr>
          <w:rFonts w:ascii="Times New Roman" w:hAnsi="Times New Roman"/>
          <w:sz w:val="16"/>
          <w:szCs w:val="16"/>
        </w:rPr>
      </w:pPr>
    </w:p>
    <w:p w14:paraId="47D517D4" w14:textId="77777777" w:rsidR="00DC4883" w:rsidRPr="003D5C01" w:rsidRDefault="00DC4883" w:rsidP="00DC4883">
      <w:pPr>
        <w:rPr>
          <w:sz w:val="16"/>
          <w:szCs w:val="16"/>
        </w:rPr>
      </w:pPr>
    </w:p>
    <w:p w14:paraId="252F418E" w14:textId="42946837" w:rsidR="00ED425B" w:rsidRDefault="00ED425B" w:rsidP="00ED425B">
      <w:pPr>
        <w:ind w:firstLine="0"/>
      </w:pPr>
      <w:r>
        <w:tab/>
        <w:t>Not surprisingly, as the cross tabs revealed, non-biotechnology inventions were more likely to be instituted</w:t>
      </w:r>
      <w:r w:rsidR="00385F2A">
        <w:t xml:space="preserve"> as indicated in Table 1</w:t>
      </w:r>
      <w:r>
        <w:t>.  In particular, compared to biotechnology inventions, electrical engineering/semiconductor</w:t>
      </w:r>
      <w:r w:rsidR="009B4398">
        <w:t xml:space="preserve"> and</w:t>
      </w:r>
      <w:r>
        <w:t xml:space="preserve"> mechanical engineering inventions were more likely to be instituted</w:t>
      </w:r>
      <w:r w:rsidR="009B4398">
        <w:t>; the other technology categories were not significant</w:t>
      </w:r>
      <w:r>
        <w:t xml:space="preserve">. Likewise, </w:t>
      </w:r>
      <w:r w:rsidR="00385F2A">
        <w:t xml:space="preserve">corporate petitioners, and both </w:t>
      </w:r>
      <w:r>
        <w:t xml:space="preserve">PAE </w:t>
      </w:r>
      <w:r w:rsidR="00385F2A">
        <w:t xml:space="preserve">and SME </w:t>
      </w:r>
      <w:r>
        <w:t>patentees were more likely to have their inventions instituted as well</w:t>
      </w:r>
      <w:r w:rsidR="00385F2A">
        <w:t>, which is again not surprising given the cross tabs</w:t>
      </w:r>
      <w:r>
        <w:t>. Challenges based on section 102 anticipation were more likely to be instituted while th</w:t>
      </w:r>
      <w:r w:rsidR="00385F2A">
        <w:t xml:space="preserve">e coefficient for section 103 was not statistically significant. </w:t>
      </w:r>
    </w:p>
    <w:p w14:paraId="20F2AAF2" w14:textId="77777777" w:rsidR="00ED425B" w:rsidRDefault="00ED425B" w:rsidP="00ED425B">
      <w:pPr>
        <w:ind w:firstLine="0"/>
      </w:pPr>
      <w:r>
        <w:tab/>
      </w:r>
    </w:p>
    <w:p w14:paraId="1894CEE6" w14:textId="2075155A" w:rsidR="00ED425B" w:rsidRDefault="00ED425B" w:rsidP="00ED425B">
      <w:pPr>
        <w:ind w:firstLine="0"/>
      </w:pPr>
      <w:r>
        <w:tab/>
        <w:t>Most of the presider judge demographic factors were not statistically significant</w:t>
      </w:r>
      <w:r w:rsidR="00385F2A">
        <w:t xml:space="preserve"> on the decision to institute</w:t>
      </w:r>
      <w:r>
        <w:t xml:space="preserve">. Judges who had some law firm </w:t>
      </w:r>
      <w:proofErr w:type="gramStart"/>
      <w:r>
        <w:t>experience</w:t>
      </w:r>
      <w:proofErr w:type="gramEnd"/>
      <w:r>
        <w:t xml:space="preserve"> were more likely to institute to a statistically significant degree</w:t>
      </w:r>
      <w:r w:rsidR="00385F2A">
        <w:t xml:space="preserve"> as were judges who served as PTO lawyers</w:t>
      </w:r>
      <w:r>
        <w:t xml:space="preserve">. Further, compared to judges based </w:t>
      </w:r>
      <w:r>
        <w:lastRenderedPageBreak/>
        <w:t xml:space="preserve">in Arlington, presiding judges based in Colorado were more likely to institute. Wordy claims were less likely to be instituted. In addition, compared to the year 2020, petitions in 2013 or 2014 were more likely to be instituted. This suggests that compared to last year, the PTAB in its early years was just more eager to institute in general. </w:t>
      </w:r>
      <w:r w:rsidR="00385F2A">
        <w:t>The same variables were significant for presider judges versus all judges on the panel.</w:t>
      </w:r>
    </w:p>
    <w:p w14:paraId="46C0CF5F" w14:textId="6DE059C2" w:rsidR="00E35309" w:rsidRDefault="00E35309" w:rsidP="00ED425B">
      <w:pPr>
        <w:ind w:firstLine="0"/>
      </w:pPr>
    </w:p>
    <w:p w14:paraId="03782CAC" w14:textId="77777777" w:rsidR="00E35309" w:rsidRPr="00724B19" w:rsidRDefault="00E35309" w:rsidP="00E35309">
      <w:pPr>
        <w:ind w:firstLine="0"/>
        <w:rPr>
          <w:b/>
          <w:bCs/>
        </w:rPr>
      </w:pPr>
      <w:r w:rsidRPr="00724B19">
        <w:rPr>
          <w:b/>
          <w:bCs/>
        </w:rPr>
        <w:t xml:space="preserve">Table </w:t>
      </w:r>
      <w:r>
        <w:rPr>
          <w:b/>
          <w:bCs/>
        </w:rPr>
        <w:t>2</w:t>
      </w:r>
      <w:r w:rsidRPr="00724B19">
        <w:rPr>
          <w:b/>
          <w:bCs/>
        </w:rPr>
        <w:t xml:space="preserve">: Logistic Regression on Decision </w:t>
      </w:r>
      <w:r>
        <w:rPr>
          <w:b/>
          <w:bCs/>
        </w:rPr>
        <w:t>on Merits to Invalidate in Whole or in Part</w:t>
      </w:r>
      <w:r w:rsidRPr="00724B19">
        <w:rPr>
          <w:b/>
          <w:bCs/>
        </w:rPr>
        <w:t xml:space="preserve"> </w:t>
      </w:r>
    </w:p>
    <w:p w14:paraId="345676A3" w14:textId="77777777" w:rsidR="00E35309" w:rsidRDefault="00E35309" w:rsidP="00E35309">
      <w:pPr>
        <w:ind w:firstLine="0"/>
      </w:pPr>
    </w:p>
    <w:tbl>
      <w:tblPr>
        <w:tblW w:w="0" w:type="auto"/>
        <w:tblInd w:w="-118" w:type="dxa"/>
        <w:tblLayout w:type="fixed"/>
        <w:tblLook w:val="0000" w:firstRow="0" w:lastRow="0" w:firstColumn="0" w:lastColumn="0" w:noHBand="0" w:noVBand="0"/>
      </w:tblPr>
      <w:tblGrid>
        <w:gridCol w:w="1836"/>
        <w:gridCol w:w="1728"/>
        <w:gridCol w:w="1728"/>
        <w:gridCol w:w="1728"/>
        <w:gridCol w:w="1728"/>
      </w:tblGrid>
      <w:tr w:rsidR="009B537D" w:rsidRPr="00063075" w14:paraId="5874FF84" w14:textId="77777777" w:rsidTr="00270E36">
        <w:tc>
          <w:tcPr>
            <w:tcW w:w="1836" w:type="dxa"/>
            <w:tcBorders>
              <w:bottom w:val="single" w:sz="4" w:space="0" w:color="auto"/>
            </w:tcBorders>
            <w:tcMar>
              <w:top w:w="100" w:type="nil"/>
              <w:right w:w="100" w:type="nil"/>
            </w:tcMar>
            <w:vAlign w:val="center"/>
          </w:tcPr>
          <w:p w14:paraId="040A5E48"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Borders>
              <w:bottom w:val="single" w:sz="4" w:space="0" w:color="auto"/>
            </w:tcBorders>
            <w:tcMar>
              <w:top w:w="100" w:type="nil"/>
              <w:right w:w="100" w:type="nil"/>
            </w:tcMar>
            <w:vAlign w:val="center"/>
          </w:tcPr>
          <w:p w14:paraId="6E52EFFF" w14:textId="77777777" w:rsidR="009B537D" w:rsidRDefault="009B537D" w:rsidP="00837EA0">
            <w:pPr>
              <w:autoSpaceDE w:val="0"/>
              <w:autoSpaceDN w:val="0"/>
              <w:adjustRightInd w:val="0"/>
              <w:jc w:val="center"/>
              <w:rPr>
                <w:rFonts w:ascii="Times New Roman" w:hAnsi="Times New Roman"/>
                <w:b/>
                <w:bCs/>
                <w:sz w:val="16"/>
                <w:szCs w:val="16"/>
              </w:rPr>
            </w:pPr>
            <w:r w:rsidRPr="00076632">
              <w:rPr>
                <w:rFonts w:ascii="Times New Roman" w:hAnsi="Times New Roman"/>
                <w:b/>
                <w:bCs/>
                <w:sz w:val="16"/>
                <w:szCs w:val="16"/>
              </w:rPr>
              <w:t xml:space="preserve">(Model </w:t>
            </w:r>
            <w:r>
              <w:rPr>
                <w:rFonts w:ascii="Times New Roman" w:hAnsi="Times New Roman"/>
                <w:b/>
                <w:bCs/>
                <w:sz w:val="16"/>
                <w:szCs w:val="16"/>
              </w:rPr>
              <w:t>3</w:t>
            </w:r>
            <w:r w:rsidRPr="00076632">
              <w:rPr>
                <w:rFonts w:ascii="Times New Roman" w:hAnsi="Times New Roman"/>
                <w:b/>
                <w:bCs/>
                <w:sz w:val="16"/>
                <w:szCs w:val="16"/>
              </w:rPr>
              <w:t>)</w:t>
            </w:r>
          </w:p>
          <w:p w14:paraId="1CCFA150" w14:textId="2E62EF7C" w:rsidR="00837EA0" w:rsidRPr="00076632" w:rsidRDefault="00837EA0" w:rsidP="00837EA0">
            <w:pPr>
              <w:autoSpaceDE w:val="0"/>
              <w:autoSpaceDN w:val="0"/>
              <w:adjustRightInd w:val="0"/>
              <w:jc w:val="center"/>
              <w:rPr>
                <w:rFonts w:ascii="Times New Roman" w:hAnsi="Times New Roman"/>
                <w:b/>
                <w:bCs/>
                <w:sz w:val="16"/>
                <w:szCs w:val="16"/>
              </w:rPr>
            </w:pPr>
            <w:r>
              <w:rPr>
                <w:rFonts w:ascii="Times New Roman" w:hAnsi="Times New Roman"/>
                <w:b/>
                <w:bCs/>
                <w:sz w:val="16"/>
                <w:szCs w:val="16"/>
              </w:rPr>
              <w:t>Presider</w:t>
            </w:r>
          </w:p>
        </w:tc>
        <w:tc>
          <w:tcPr>
            <w:tcW w:w="1728" w:type="dxa"/>
            <w:tcBorders>
              <w:bottom w:val="single" w:sz="4" w:space="0" w:color="auto"/>
            </w:tcBorders>
            <w:tcMar>
              <w:top w:w="100" w:type="nil"/>
              <w:right w:w="100" w:type="nil"/>
            </w:tcMar>
            <w:vAlign w:val="center"/>
          </w:tcPr>
          <w:p w14:paraId="08E4B08C" w14:textId="77777777" w:rsidR="009B537D" w:rsidRDefault="009B537D" w:rsidP="00270E36">
            <w:pPr>
              <w:autoSpaceDE w:val="0"/>
              <w:autoSpaceDN w:val="0"/>
              <w:adjustRightInd w:val="0"/>
              <w:jc w:val="center"/>
              <w:rPr>
                <w:rFonts w:ascii="Times New Roman" w:hAnsi="Times New Roman"/>
                <w:b/>
                <w:bCs/>
                <w:sz w:val="16"/>
                <w:szCs w:val="16"/>
              </w:rPr>
            </w:pPr>
            <w:r w:rsidRPr="00076632">
              <w:rPr>
                <w:rFonts w:ascii="Times New Roman" w:hAnsi="Times New Roman"/>
                <w:b/>
                <w:bCs/>
                <w:sz w:val="16"/>
                <w:szCs w:val="16"/>
              </w:rPr>
              <w:t xml:space="preserve">(Model </w:t>
            </w:r>
            <w:r>
              <w:rPr>
                <w:rFonts w:ascii="Times New Roman" w:hAnsi="Times New Roman"/>
                <w:b/>
                <w:bCs/>
                <w:sz w:val="16"/>
                <w:szCs w:val="16"/>
              </w:rPr>
              <w:t>4</w:t>
            </w:r>
            <w:r w:rsidR="00837EA0">
              <w:rPr>
                <w:rFonts w:ascii="Times New Roman" w:hAnsi="Times New Roman"/>
                <w:b/>
                <w:bCs/>
                <w:sz w:val="16"/>
                <w:szCs w:val="16"/>
              </w:rPr>
              <w:t>)</w:t>
            </w:r>
          </w:p>
          <w:p w14:paraId="646C3388" w14:textId="1CFF568C" w:rsidR="00837EA0" w:rsidRPr="00076632" w:rsidRDefault="00837EA0" w:rsidP="00270E36">
            <w:pPr>
              <w:autoSpaceDE w:val="0"/>
              <w:autoSpaceDN w:val="0"/>
              <w:adjustRightInd w:val="0"/>
              <w:jc w:val="center"/>
              <w:rPr>
                <w:rFonts w:ascii="Times New Roman" w:hAnsi="Times New Roman"/>
                <w:b/>
                <w:bCs/>
                <w:sz w:val="16"/>
                <w:szCs w:val="16"/>
              </w:rPr>
            </w:pPr>
            <w:r>
              <w:rPr>
                <w:rFonts w:ascii="Times New Roman" w:hAnsi="Times New Roman"/>
                <w:b/>
                <w:bCs/>
                <w:sz w:val="16"/>
                <w:szCs w:val="16"/>
              </w:rPr>
              <w:t>All</w:t>
            </w:r>
          </w:p>
        </w:tc>
        <w:tc>
          <w:tcPr>
            <w:tcW w:w="1728" w:type="dxa"/>
            <w:tcBorders>
              <w:bottom w:val="single" w:sz="4" w:space="0" w:color="auto"/>
            </w:tcBorders>
            <w:tcMar>
              <w:top w:w="100" w:type="nil"/>
              <w:right w:w="100" w:type="nil"/>
            </w:tcMar>
            <w:vAlign w:val="center"/>
          </w:tcPr>
          <w:p w14:paraId="67C92969" w14:textId="77777777" w:rsidR="009B537D" w:rsidRDefault="009B537D" w:rsidP="00270E36">
            <w:pPr>
              <w:autoSpaceDE w:val="0"/>
              <w:autoSpaceDN w:val="0"/>
              <w:adjustRightInd w:val="0"/>
              <w:jc w:val="center"/>
              <w:rPr>
                <w:rFonts w:ascii="Times New Roman" w:hAnsi="Times New Roman"/>
                <w:b/>
                <w:bCs/>
                <w:sz w:val="16"/>
                <w:szCs w:val="16"/>
              </w:rPr>
            </w:pPr>
            <w:r w:rsidRPr="00076632">
              <w:rPr>
                <w:rFonts w:ascii="Times New Roman" w:hAnsi="Times New Roman"/>
                <w:b/>
                <w:bCs/>
                <w:sz w:val="16"/>
                <w:szCs w:val="16"/>
              </w:rPr>
              <w:t xml:space="preserve">(Model </w:t>
            </w:r>
            <w:r>
              <w:rPr>
                <w:rFonts w:ascii="Times New Roman" w:hAnsi="Times New Roman"/>
                <w:b/>
                <w:bCs/>
                <w:sz w:val="16"/>
                <w:szCs w:val="16"/>
              </w:rPr>
              <w:t>5</w:t>
            </w:r>
            <w:r w:rsidRPr="00076632">
              <w:rPr>
                <w:rFonts w:ascii="Times New Roman" w:hAnsi="Times New Roman"/>
                <w:b/>
                <w:bCs/>
                <w:sz w:val="16"/>
                <w:szCs w:val="16"/>
              </w:rPr>
              <w:t>)</w:t>
            </w:r>
          </w:p>
          <w:p w14:paraId="2601CE76" w14:textId="477A3BC4" w:rsidR="00837EA0" w:rsidRPr="00076632" w:rsidRDefault="00837EA0" w:rsidP="00270E36">
            <w:pPr>
              <w:autoSpaceDE w:val="0"/>
              <w:autoSpaceDN w:val="0"/>
              <w:adjustRightInd w:val="0"/>
              <w:jc w:val="center"/>
              <w:rPr>
                <w:rFonts w:ascii="Times New Roman" w:hAnsi="Times New Roman"/>
                <w:b/>
                <w:bCs/>
                <w:sz w:val="16"/>
                <w:szCs w:val="16"/>
              </w:rPr>
            </w:pPr>
            <w:r>
              <w:rPr>
                <w:rFonts w:ascii="Times New Roman" w:hAnsi="Times New Roman"/>
                <w:b/>
                <w:bCs/>
                <w:sz w:val="16"/>
                <w:szCs w:val="16"/>
              </w:rPr>
              <w:t>Presider</w:t>
            </w:r>
          </w:p>
        </w:tc>
        <w:tc>
          <w:tcPr>
            <w:tcW w:w="1728" w:type="dxa"/>
            <w:tcBorders>
              <w:bottom w:val="single" w:sz="4" w:space="0" w:color="auto"/>
            </w:tcBorders>
            <w:tcMar>
              <w:top w:w="100" w:type="nil"/>
              <w:right w:w="100" w:type="nil"/>
            </w:tcMar>
            <w:vAlign w:val="center"/>
          </w:tcPr>
          <w:p w14:paraId="1EA7A814" w14:textId="77777777" w:rsidR="009B537D" w:rsidRDefault="009B537D" w:rsidP="00270E36">
            <w:pPr>
              <w:autoSpaceDE w:val="0"/>
              <w:autoSpaceDN w:val="0"/>
              <w:adjustRightInd w:val="0"/>
              <w:jc w:val="center"/>
              <w:rPr>
                <w:rFonts w:ascii="Times New Roman" w:hAnsi="Times New Roman"/>
                <w:b/>
                <w:bCs/>
                <w:sz w:val="16"/>
                <w:szCs w:val="16"/>
              </w:rPr>
            </w:pPr>
            <w:r w:rsidRPr="00076632">
              <w:rPr>
                <w:rFonts w:ascii="Times New Roman" w:hAnsi="Times New Roman"/>
                <w:b/>
                <w:bCs/>
                <w:sz w:val="16"/>
                <w:szCs w:val="16"/>
              </w:rPr>
              <w:t>(</w:t>
            </w:r>
            <w:r>
              <w:rPr>
                <w:rFonts w:ascii="Times New Roman" w:hAnsi="Times New Roman"/>
                <w:b/>
                <w:bCs/>
                <w:sz w:val="16"/>
                <w:szCs w:val="16"/>
              </w:rPr>
              <w:t>Model 6</w:t>
            </w:r>
            <w:r w:rsidRPr="00076632">
              <w:rPr>
                <w:rFonts w:ascii="Times New Roman" w:hAnsi="Times New Roman"/>
                <w:b/>
                <w:bCs/>
                <w:sz w:val="16"/>
                <w:szCs w:val="16"/>
              </w:rPr>
              <w:t>)</w:t>
            </w:r>
          </w:p>
          <w:p w14:paraId="2E5A477B" w14:textId="54463DB1" w:rsidR="00837EA0" w:rsidRPr="00076632" w:rsidRDefault="00837EA0" w:rsidP="00270E36">
            <w:pPr>
              <w:autoSpaceDE w:val="0"/>
              <w:autoSpaceDN w:val="0"/>
              <w:adjustRightInd w:val="0"/>
              <w:jc w:val="center"/>
              <w:rPr>
                <w:rFonts w:ascii="Times New Roman" w:hAnsi="Times New Roman"/>
                <w:b/>
                <w:bCs/>
                <w:sz w:val="16"/>
                <w:szCs w:val="16"/>
              </w:rPr>
            </w:pPr>
            <w:r>
              <w:rPr>
                <w:rFonts w:ascii="Times New Roman" w:hAnsi="Times New Roman"/>
                <w:b/>
                <w:bCs/>
                <w:sz w:val="16"/>
                <w:szCs w:val="16"/>
              </w:rPr>
              <w:t>All</w:t>
            </w:r>
          </w:p>
        </w:tc>
      </w:tr>
      <w:tr w:rsidR="009B537D" w:rsidRPr="00063075" w14:paraId="7D186717" w14:textId="77777777" w:rsidTr="00270E36">
        <w:tc>
          <w:tcPr>
            <w:tcW w:w="1836" w:type="dxa"/>
            <w:tcBorders>
              <w:top w:val="single" w:sz="4" w:space="0" w:color="auto"/>
            </w:tcBorders>
            <w:tcMar>
              <w:top w:w="100" w:type="nil"/>
              <w:right w:w="100" w:type="nil"/>
            </w:tcMar>
            <w:vAlign w:val="center"/>
          </w:tcPr>
          <w:p w14:paraId="1B7B4FE2"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Borders>
              <w:top w:val="single" w:sz="4" w:space="0" w:color="auto"/>
            </w:tcBorders>
            <w:tcMar>
              <w:top w:w="100" w:type="nil"/>
              <w:right w:w="100" w:type="nil"/>
            </w:tcMar>
            <w:vAlign w:val="center"/>
          </w:tcPr>
          <w:p w14:paraId="64B45E47" w14:textId="77777777" w:rsidR="009B537D" w:rsidRPr="00076632" w:rsidRDefault="009B537D" w:rsidP="00270E36">
            <w:pPr>
              <w:autoSpaceDE w:val="0"/>
              <w:autoSpaceDN w:val="0"/>
              <w:adjustRightInd w:val="0"/>
              <w:jc w:val="center"/>
              <w:rPr>
                <w:rFonts w:ascii="Times New Roman" w:hAnsi="Times New Roman"/>
                <w:b/>
                <w:bCs/>
                <w:sz w:val="16"/>
                <w:szCs w:val="16"/>
              </w:rPr>
            </w:pPr>
            <w:r w:rsidRPr="00076632">
              <w:rPr>
                <w:rFonts w:ascii="Times New Roman" w:hAnsi="Times New Roman"/>
                <w:b/>
                <w:bCs/>
                <w:sz w:val="16"/>
                <w:szCs w:val="16"/>
              </w:rPr>
              <w:t>Invalidate Whole or Part</w:t>
            </w:r>
          </w:p>
        </w:tc>
        <w:tc>
          <w:tcPr>
            <w:tcW w:w="1728" w:type="dxa"/>
            <w:tcBorders>
              <w:top w:val="single" w:sz="4" w:space="0" w:color="auto"/>
            </w:tcBorders>
            <w:tcMar>
              <w:top w:w="100" w:type="nil"/>
              <w:right w:w="100" w:type="nil"/>
            </w:tcMar>
            <w:vAlign w:val="center"/>
          </w:tcPr>
          <w:p w14:paraId="7691A713" w14:textId="77777777" w:rsidR="009B537D" w:rsidRPr="00076632" w:rsidRDefault="009B537D" w:rsidP="00270E36">
            <w:pPr>
              <w:autoSpaceDE w:val="0"/>
              <w:autoSpaceDN w:val="0"/>
              <w:adjustRightInd w:val="0"/>
              <w:jc w:val="center"/>
              <w:rPr>
                <w:rFonts w:ascii="Times New Roman" w:hAnsi="Times New Roman"/>
                <w:b/>
                <w:bCs/>
                <w:sz w:val="16"/>
                <w:szCs w:val="16"/>
              </w:rPr>
            </w:pPr>
            <w:r w:rsidRPr="00076632">
              <w:rPr>
                <w:rFonts w:ascii="Times New Roman" w:hAnsi="Times New Roman"/>
                <w:b/>
                <w:bCs/>
                <w:sz w:val="16"/>
                <w:szCs w:val="16"/>
              </w:rPr>
              <w:t>Invalidate Whole or Part</w:t>
            </w:r>
          </w:p>
        </w:tc>
        <w:tc>
          <w:tcPr>
            <w:tcW w:w="1728" w:type="dxa"/>
            <w:tcBorders>
              <w:top w:val="single" w:sz="4" w:space="0" w:color="auto"/>
            </w:tcBorders>
            <w:tcMar>
              <w:top w:w="100" w:type="nil"/>
              <w:right w:w="100" w:type="nil"/>
            </w:tcMar>
            <w:vAlign w:val="center"/>
          </w:tcPr>
          <w:p w14:paraId="4CC38993" w14:textId="77777777" w:rsidR="009B537D" w:rsidRPr="00076632" w:rsidRDefault="009B537D" w:rsidP="00270E36">
            <w:pPr>
              <w:autoSpaceDE w:val="0"/>
              <w:autoSpaceDN w:val="0"/>
              <w:adjustRightInd w:val="0"/>
              <w:jc w:val="center"/>
              <w:rPr>
                <w:rFonts w:ascii="Times New Roman" w:hAnsi="Times New Roman"/>
                <w:b/>
                <w:bCs/>
                <w:sz w:val="16"/>
                <w:szCs w:val="16"/>
              </w:rPr>
            </w:pPr>
            <w:r w:rsidRPr="00076632">
              <w:rPr>
                <w:rFonts w:ascii="Times New Roman" w:hAnsi="Times New Roman"/>
                <w:b/>
                <w:bCs/>
                <w:sz w:val="16"/>
                <w:szCs w:val="16"/>
              </w:rPr>
              <w:t>Invalidate Whole</w:t>
            </w:r>
          </w:p>
        </w:tc>
        <w:tc>
          <w:tcPr>
            <w:tcW w:w="1728" w:type="dxa"/>
            <w:tcBorders>
              <w:top w:val="single" w:sz="4" w:space="0" w:color="auto"/>
            </w:tcBorders>
            <w:tcMar>
              <w:top w:w="100" w:type="nil"/>
              <w:right w:w="100" w:type="nil"/>
            </w:tcMar>
            <w:vAlign w:val="center"/>
          </w:tcPr>
          <w:p w14:paraId="0481A80B" w14:textId="77777777" w:rsidR="009B537D" w:rsidRPr="00076632" w:rsidRDefault="009B537D" w:rsidP="00270E36">
            <w:pPr>
              <w:autoSpaceDE w:val="0"/>
              <w:autoSpaceDN w:val="0"/>
              <w:adjustRightInd w:val="0"/>
              <w:jc w:val="center"/>
              <w:rPr>
                <w:rFonts w:ascii="Times New Roman" w:hAnsi="Times New Roman"/>
                <w:b/>
                <w:bCs/>
                <w:sz w:val="16"/>
                <w:szCs w:val="16"/>
              </w:rPr>
            </w:pPr>
            <w:r w:rsidRPr="00076632">
              <w:rPr>
                <w:rFonts w:ascii="Times New Roman" w:hAnsi="Times New Roman"/>
                <w:b/>
                <w:bCs/>
                <w:sz w:val="16"/>
                <w:szCs w:val="16"/>
              </w:rPr>
              <w:t>Invalidate Whole</w:t>
            </w:r>
          </w:p>
        </w:tc>
      </w:tr>
      <w:tr w:rsidR="009B537D" w:rsidRPr="00063075" w14:paraId="57F90004" w14:textId="77777777" w:rsidTr="00270E36">
        <w:tc>
          <w:tcPr>
            <w:tcW w:w="1836" w:type="dxa"/>
            <w:tcBorders>
              <w:top w:val="single" w:sz="4" w:space="0" w:color="auto"/>
            </w:tcBorders>
            <w:tcMar>
              <w:top w:w="100" w:type="nil"/>
              <w:right w:w="100" w:type="nil"/>
            </w:tcMar>
            <w:vAlign w:val="center"/>
          </w:tcPr>
          <w:p w14:paraId="2C37C6EE"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Borders>
              <w:top w:val="single" w:sz="4" w:space="0" w:color="auto"/>
            </w:tcBorders>
            <w:tcMar>
              <w:top w:w="100" w:type="nil"/>
              <w:right w:w="100" w:type="nil"/>
            </w:tcMar>
            <w:vAlign w:val="center"/>
          </w:tcPr>
          <w:p w14:paraId="72D76FC0"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Borders>
              <w:top w:val="single" w:sz="4" w:space="0" w:color="auto"/>
            </w:tcBorders>
            <w:tcMar>
              <w:top w:w="100" w:type="nil"/>
              <w:right w:w="100" w:type="nil"/>
            </w:tcMar>
            <w:vAlign w:val="center"/>
          </w:tcPr>
          <w:p w14:paraId="4DE70A0B"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Borders>
              <w:top w:val="single" w:sz="4" w:space="0" w:color="auto"/>
            </w:tcBorders>
            <w:tcMar>
              <w:top w:w="100" w:type="nil"/>
              <w:right w:w="100" w:type="nil"/>
            </w:tcMar>
            <w:vAlign w:val="center"/>
          </w:tcPr>
          <w:p w14:paraId="3379140D"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Borders>
              <w:top w:val="single" w:sz="4" w:space="0" w:color="auto"/>
            </w:tcBorders>
            <w:tcMar>
              <w:top w:w="100" w:type="nil"/>
              <w:right w:w="100" w:type="nil"/>
            </w:tcMar>
            <w:vAlign w:val="center"/>
          </w:tcPr>
          <w:p w14:paraId="4702F836" w14:textId="77777777" w:rsidR="009B537D" w:rsidRPr="00063075" w:rsidRDefault="009B537D" w:rsidP="00270E36">
            <w:pPr>
              <w:autoSpaceDE w:val="0"/>
              <w:autoSpaceDN w:val="0"/>
              <w:adjustRightInd w:val="0"/>
              <w:jc w:val="center"/>
              <w:rPr>
                <w:rFonts w:ascii="Times New Roman" w:hAnsi="Times New Roman"/>
                <w:sz w:val="16"/>
                <w:szCs w:val="16"/>
              </w:rPr>
            </w:pPr>
          </w:p>
        </w:tc>
      </w:tr>
      <w:tr w:rsidR="009B537D" w:rsidRPr="00063075" w14:paraId="2C667136" w14:textId="77777777" w:rsidTr="00270E36">
        <w:tc>
          <w:tcPr>
            <w:tcW w:w="1836" w:type="dxa"/>
            <w:tcMar>
              <w:top w:w="100" w:type="nil"/>
              <w:right w:w="100" w:type="nil"/>
            </w:tcMar>
            <w:vAlign w:val="center"/>
          </w:tcPr>
          <w:p w14:paraId="06826F7A" w14:textId="77777777" w:rsidR="009B537D" w:rsidRPr="00063075" w:rsidRDefault="009B537D" w:rsidP="00270E36">
            <w:pPr>
              <w:autoSpaceDE w:val="0"/>
              <w:autoSpaceDN w:val="0"/>
              <w:adjustRightInd w:val="0"/>
              <w:rPr>
                <w:rFonts w:ascii="Times New Roman" w:hAnsi="Times New Roman"/>
                <w:b/>
                <w:bCs/>
                <w:i/>
                <w:iCs/>
                <w:sz w:val="16"/>
                <w:szCs w:val="16"/>
              </w:rPr>
            </w:pPr>
            <w:r w:rsidRPr="00063075">
              <w:rPr>
                <w:rFonts w:ascii="Times New Roman" w:hAnsi="Times New Roman"/>
                <w:b/>
                <w:bCs/>
                <w:i/>
                <w:iCs/>
                <w:sz w:val="16"/>
                <w:szCs w:val="16"/>
              </w:rPr>
              <w:t>Technology</w:t>
            </w:r>
          </w:p>
        </w:tc>
        <w:tc>
          <w:tcPr>
            <w:tcW w:w="1728" w:type="dxa"/>
            <w:tcMar>
              <w:top w:w="100" w:type="nil"/>
              <w:right w:w="100" w:type="nil"/>
            </w:tcMar>
            <w:vAlign w:val="center"/>
          </w:tcPr>
          <w:p w14:paraId="54FB3C83"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Mar>
              <w:top w:w="100" w:type="nil"/>
              <w:right w:w="100" w:type="nil"/>
            </w:tcMar>
            <w:vAlign w:val="center"/>
          </w:tcPr>
          <w:p w14:paraId="454D5956"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Mar>
              <w:top w:w="100" w:type="nil"/>
              <w:right w:w="100" w:type="nil"/>
            </w:tcMar>
            <w:vAlign w:val="center"/>
          </w:tcPr>
          <w:p w14:paraId="436919B9"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Mar>
              <w:top w:w="100" w:type="nil"/>
              <w:right w:w="100" w:type="nil"/>
            </w:tcMar>
            <w:vAlign w:val="center"/>
          </w:tcPr>
          <w:p w14:paraId="320CB41C" w14:textId="77777777" w:rsidR="009B537D" w:rsidRPr="00063075" w:rsidRDefault="009B537D" w:rsidP="00270E36">
            <w:pPr>
              <w:autoSpaceDE w:val="0"/>
              <w:autoSpaceDN w:val="0"/>
              <w:adjustRightInd w:val="0"/>
              <w:jc w:val="center"/>
              <w:rPr>
                <w:rFonts w:ascii="Times New Roman" w:hAnsi="Times New Roman"/>
                <w:sz w:val="16"/>
                <w:szCs w:val="16"/>
              </w:rPr>
            </w:pPr>
          </w:p>
        </w:tc>
      </w:tr>
      <w:tr w:rsidR="009B537D" w:rsidRPr="00063075" w14:paraId="06FDBB37" w14:textId="77777777" w:rsidTr="00270E36">
        <w:tc>
          <w:tcPr>
            <w:tcW w:w="1836" w:type="dxa"/>
            <w:tcMar>
              <w:top w:w="100" w:type="nil"/>
              <w:right w:w="100" w:type="nil"/>
            </w:tcMar>
            <w:vAlign w:val="center"/>
          </w:tcPr>
          <w:p w14:paraId="7111F2B1"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Chem/Materials</w:t>
            </w:r>
          </w:p>
        </w:tc>
        <w:tc>
          <w:tcPr>
            <w:tcW w:w="1728" w:type="dxa"/>
            <w:tcMar>
              <w:top w:w="100" w:type="nil"/>
              <w:right w:w="100" w:type="nil"/>
            </w:tcMar>
            <w:vAlign w:val="center"/>
          </w:tcPr>
          <w:p w14:paraId="5898547B"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1.350</w:t>
            </w:r>
            <w:r w:rsidRPr="00063075">
              <w:rPr>
                <w:rFonts w:ascii="Times New Roman" w:hAnsi="Times New Roman"/>
                <w:sz w:val="16"/>
                <w:szCs w:val="16"/>
                <w:vertAlign w:val="superscript"/>
              </w:rPr>
              <w:t>***</w:t>
            </w:r>
          </w:p>
        </w:tc>
        <w:tc>
          <w:tcPr>
            <w:tcW w:w="1728" w:type="dxa"/>
            <w:tcMar>
              <w:top w:w="100" w:type="nil"/>
              <w:right w:w="100" w:type="nil"/>
            </w:tcMar>
            <w:vAlign w:val="center"/>
          </w:tcPr>
          <w:p w14:paraId="66EDC6FA"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1.359</w:t>
            </w:r>
            <w:r w:rsidRPr="00063075">
              <w:rPr>
                <w:rFonts w:ascii="Times New Roman" w:hAnsi="Times New Roman"/>
                <w:sz w:val="16"/>
                <w:szCs w:val="16"/>
                <w:vertAlign w:val="superscript"/>
              </w:rPr>
              <w:t>***</w:t>
            </w:r>
          </w:p>
        </w:tc>
        <w:tc>
          <w:tcPr>
            <w:tcW w:w="1728" w:type="dxa"/>
            <w:tcMar>
              <w:top w:w="100" w:type="nil"/>
              <w:right w:w="100" w:type="nil"/>
            </w:tcMar>
            <w:vAlign w:val="center"/>
          </w:tcPr>
          <w:p w14:paraId="4AF74BEC"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0.528</w:t>
            </w:r>
            <w:r w:rsidRPr="00063075">
              <w:rPr>
                <w:rFonts w:ascii="Times New Roman" w:hAnsi="Times New Roman"/>
                <w:sz w:val="16"/>
                <w:szCs w:val="16"/>
                <w:vertAlign w:val="superscript"/>
              </w:rPr>
              <w:t>*</w:t>
            </w:r>
          </w:p>
        </w:tc>
        <w:tc>
          <w:tcPr>
            <w:tcW w:w="1728" w:type="dxa"/>
            <w:tcMar>
              <w:top w:w="100" w:type="nil"/>
              <w:right w:w="100" w:type="nil"/>
            </w:tcMar>
            <w:vAlign w:val="center"/>
          </w:tcPr>
          <w:p w14:paraId="0C28742E"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0.752</w:t>
            </w:r>
            <w:r w:rsidRPr="00063075">
              <w:rPr>
                <w:rFonts w:ascii="Times New Roman" w:hAnsi="Times New Roman"/>
                <w:sz w:val="16"/>
                <w:szCs w:val="16"/>
                <w:vertAlign w:val="superscript"/>
              </w:rPr>
              <w:t>**</w:t>
            </w:r>
          </w:p>
        </w:tc>
      </w:tr>
      <w:tr w:rsidR="009B537D" w:rsidRPr="00063075" w14:paraId="4863A6ED" w14:textId="77777777" w:rsidTr="00270E36">
        <w:tc>
          <w:tcPr>
            <w:tcW w:w="1836" w:type="dxa"/>
            <w:tcMar>
              <w:top w:w="100" w:type="nil"/>
              <w:right w:w="100" w:type="nil"/>
            </w:tcMar>
            <w:vAlign w:val="center"/>
          </w:tcPr>
          <w:p w14:paraId="4F03F0CA"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5395DFB"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(0.363)</w:t>
            </w:r>
          </w:p>
        </w:tc>
        <w:tc>
          <w:tcPr>
            <w:tcW w:w="1728" w:type="dxa"/>
            <w:tcMar>
              <w:top w:w="100" w:type="nil"/>
              <w:right w:w="100" w:type="nil"/>
            </w:tcMar>
            <w:vAlign w:val="center"/>
          </w:tcPr>
          <w:p w14:paraId="64D755E6"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(0.275)</w:t>
            </w:r>
          </w:p>
        </w:tc>
        <w:tc>
          <w:tcPr>
            <w:tcW w:w="1728" w:type="dxa"/>
            <w:tcMar>
              <w:top w:w="100" w:type="nil"/>
              <w:right w:w="100" w:type="nil"/>
            </w:tcMar>
            <w:vAlign w:val="center"/>
          </w:tcPr>
          <w:p w14:paraId="34075217"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(0.259)</w:t>
            </w:r>
          </w:p>
        </w:tc>
        <w:tc>
          <w:tcPr>
            <w:tcW w:w="1728" w:type="dxa"/>
            <w:tcMar>
              <w:top w:w="100" w:type="nil"/>
              <w:right w:w="100" w:type="nil"/>
            </w:tcMar>
            <w:vAlign w:val="center"/>
          </w:tcPr>
          <w:p w14:paraId="17E507A9"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(0.243)</w:t>
            </w:r>
          </w:p>
        </w:tc>
      </w:tr>
      <w:tr w:rsidR="009B537D" w:rsidRPr="00063075" w14:paraId="3AB3626D" w14:textId="77777777" w:rsidTr="00270E36">
        <w:tc>
          <w:tcPr>
            <w:tcW w:w="1836" w:type="dxa"/>
            <w:tcMar>
              <w:top w:w="100" w:type="nil"/>
              <w:right w:w="100" w:type="nil"/>
            </w:tcMar>
            <w:vAlign w:val="center"/>
          </w:tcPr>
          <w:p w14:paraId="3207A558"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A5EF33D"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57A655EF"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233B8572"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D7B352A"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0096F303" w14:textId="77777777" w:rsidTr="00270E36">
        <w:tc>
          <w:tcPr>
            <w:tcW w:w="1836" w:type="dxa"/>
            <w:tcMar>
              <w:top w:w="100" w:type="nil"/>
              <w:right w:w="100" w:type="nil"/>
            </w:tcMar>
            <w:vAlign w:val="center"/>
          </w:tcPr>
          <w:p w14:paraId="0ED3C518"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Computer</w:t>
            </w:r>
          </w:p>
        </w:tc>
        <w:tc>
          <w:tcPr>
            <w:tcW w:w="1728" w:type="dxa"/>
            <w:tcMar>
              <w:top w:w="100" w:type="nil"/>
              <w:right w:w="100" w:type="nil"/>
            </w:tcMar>
            <w:vAlign w:val="center"/>
          </w:tcPr>
          <w:p w14:paraId="6D3CE6DC"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1.177</w:t>
            </w:r>
            <w:r w:rsidRPr="00063075">
              <w:rPr>
                <w:rFonts w:ascii="Times New Roman" w:hAnsi="Times New Roman"/>
                <w:sz w:val="16"/>
                <w:szCs w:val="16"/>
                <w:vertAlign w:val="superscript"/>
              </w:rPr>
              <w:t>***</w:t>
            </w:r>
          </w:p>
        </w:tc>
        <w:tc>
          <w:tcPr>
            <w:tcW w:w="1728" w:type="dxa"/>
            <w:tcMar>
              <w:top w:w="100" w:type="nil"/>
              <w:right w:w="100" w:type="nil"/>
            </w:tcMar>
            <w:vAlign w:val="center"/>
          </w:tcPr>
          <w:p w14:paraId="54716827"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1.128</w:t>
            </w:r>
            <w:r w:rsidRPr="00063075">
              <w:rPr>
                <w:rFonts w:ascii="Times New Roman" w:hAnsi="Times New Roman"/>
                <w:sz w:val="16"/>
                <w:szCs w:val="16"/>
                <w:vertAlign w:val="superscript"/>
              </w:rPr>
              <w:t>***</w:t>
            </w:r>
          </w:p>
        </w:tc>
        <w:tc>
          <w:tcPr>
            <w:tcW w:w="1728" w:type="dxa"/>
            <w:tcMar>
              <w:top w:w="100" w:type="nil"/>
              <w:right w:w="100" w:type="nil"/>
            </w:tcMar>
            <w:vAlign w:val="center"/>
          </w:tcPr>
          <w:p w14:paraId="1DB57F1B"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0.309</w:t>
            </w:r>
          </w:p>
        </w:tc>
        <w:tc>
          <w:tcPr>
            <w:tcW w:w="1728" w:type="dxa"/>
            <w:tcMar>
              <w:top w:w="100" w:type="nil"/>
              <w:right w:w="100" w:type="nil"/>
            </w:tcMar>
            <w:vAlign w:val="center"/>
          </w:tcPr>
          <w:p w14:paraId="56D9E79A"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0.527</w:t>
            </w:r>
            <w:r w:rsidRPr="00063075">
              <w:rPr>
                <w:rFonts w:ascii="Times New Roman" w:hAnsi="Times New Roman"/>
                <w:sz w:val="16"/>
                <w:szCs w:val="16"/>
                <w:vertAlign w:val="superscript"/>
              </w:rPr>
              <w:t>*</w:t>
            </w:r>
          </w:p>
        </w:tc>
      </w:tr>
      <w:tr w:rsidR="009B537D" w:rsidRPr="00063075" w14:paraId="561928F5" w14:textId="77777777" w:rsidTr="00270E36">
        <w:tc>
          <w:tcPr>
            <w:tcW w:w="1836" w:type="dxa"/>
            <w:tcMar>
              <w:top w:w="100" w:type="nil"/>
              <w:right w:w="100" w:type="nil"/>
            </w:tcMar>
            <w:vAlign w:val="center"/>
          </w:tcPr>
          <w:p w14:paraId="39F57B6E"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198CED6D"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(0.273)</w:t>
            </w:r>
          </w:p>
        </w:tc>
        <w:tc>
          <w:tcPr>
            <w:tcW w:w="1728" w:type="dxa"/>
            <w:tcMar>
              <w:top w:w="100" w:type="nil"/>
              <w:right w:w="100" w:type="nil"/>
            </w:tcMar>
            <w:vAlign w:val="center"/>
          </w:tcPr>
          <w:p w14:paraId="4E7D31F5"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(0.234)</w:t>
            </w:r>
          </w:p>
        </w:tc>
        <w:tc>
          <w:tcPr>
            <w:tcW w:w="1728" w:type="dxa"/>
            <w:tcMar>
              <w:top w:w="100" w:type="nil"/>
              <w:right w:w="100" w:type="nil"/>
            </w:tcMar>
            <w:vAlign w:val="center"/>
          </w:tcPr>
          <w:p w14:paraId="33F26928"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(0.247)</w:t>
            </w:r>
          </w:p>
        </w:tc>
        <w:tc>
          <w:tcPr>
            <w:tcW w:w="1728" w:type="dxa"/>
            <w:tcMar>
              <w:top w:w="100" w:type="nil"/>
              <w:right w:w="100" w:type="nil"/>
            </w:tcMar>
            <w:vAlign w:val="center"/>
          </w:tcPr>
          <w:p w14:paraId="75B9059C"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(0.216)</w:t>
            </w:r>
          </w:p>
        </w:tc>
      </w:tr>
      <w:tr w:rsidR="009B537D" w:rsidRPr="00063075" w14:paraId="3F8994BE" w14:textId="77777777" w:rsidTr="00270E36">
        <w:tc>
          <w:tcPr>
            <w:tcW w:w="1836" w:type="dxa"/>
            <w:tcMar>
              <w:top w:w="100" w:type="nil"/>
              <w:right w:w="100" w:type="nil"/>
            </w:tcMar>
            <w:vAlign w:val="center"/>
          </w:tcPr>
          <w:p w14:paraId="1E451F70"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5CD3DCC2"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46C8ECD9"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253309AA"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2068784"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5F653040" w14:textId="77777777" w:rsidTr="00270E36">
        <w:tc>
          <w:tcPr>
            <w:tcW w:w="1836" w:type="dxa"/>
            <w:tcMar>
              <w:top w:w="100" w:type="nil"/>
              <w:right w:w="100" w:type="nil"/>
            </w:tcMar>
            <w:vAlign w:val="center"/>
          </w:tcPr>
          <w:p w14:paraId="1C1C02EF"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Commun.</w:t>
            </w:r>
          </w:p>
        </w:tc>
        <w:tc>
          <w:tcPr>
            <w:tcW w:w="1728" w:type="dxa"/>
            <w:tcMar>
              <w:top w:w="100" w:type="nil"/>
              <w:right w:w="100" w:type="nil"/>
            </w:tcMar>
            <w:vAlign w:val="center"/>
          </w:tcPr>
          <w:p w14:paraId="79A9505B"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1.306</w:t>
            </w:r>
            <w:r w:rsidRPr="00063075">
              <w:rPr>
                <w:rFonts w:ascii="Times New Roman" w:hAnsi="Times New Roman"/>
                <w:sz w:val="16"/>
                <w:szCs w:val="16"/>
                <w:vertAlign w:val="superscript"/>
              </w:rPr>
              <w:t>***</w:t>
            </w:r>
          </w:p>
        </w:tc>
        <w:tc>
          <w:tcPr>
            <w:tcW w:w="1728" w:type="dxa"/>
            <w:tcMar>
              <w:top w:w="100" w:type="nil"/>
              <w:right w:w="100" w:type="nil"/>
            </w:tcMar>
            <w:vAlign w:val="center"/>
          </w:tcPr>
          <w:p w14:paraId="6F7CA279"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1.219</w:t>
            </w:r>
            <w:r w:rsidRPr="00063075">
              <w:rPr>
                <w:rFonts w:ascii="Times New Roman" w:hAnsi="Times New Roman"/>
                <w:sz w:val="16"/>
                <w:szCs w:val="16"/>
                <w:vertAlign w:val="superscript"/>
              </w:rPr>
              <w:t>***</w:t>
            </w:r>
          </w:p>
        </w:tc>
        <w:tc>
          <w:tcPr>
            <w:tcW w:w="1728" w:type="dxa"/>
            <w:tcMar>
              <w:top w:w="100" w:type="nil"/>
              <w:right w:w="100" w:type="nil"/>
            </w:tcMar>
            <w:vAlign w:val="center"/>
          </w:tcPr>
          <w:p w14:paraId="1B72000F"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0.546</w:t>
            </w:r>
            <w:r w:rsidRPr="00063075">
              <w:rPr>
                <w:rFonts w:ascii="Times New Roman" w:hAnsi="Times New Roman"/>
                <w:sz w:val="16"/>
                <w:szCs w:val="16"/>
                <w:vertAlign w:val="superscript"/>
              </w:rPr>
              <w:t>*</w:t>
            </w:r>
          </w:p>
        </w:tc>
        <w:tc>
          <w:tcPr>
            <w:tcW w:w="1728" w:type="dxa"/>
            <w:tcMar>
              <w:top w:w="100" w:type="nil"/>
              <w:right w:w="100" w:type="nil"/>
            </w:tcMar>
            <w:vAlign w:val="center"/>
          </w:tcPr>
          <w:p w14:paraId="7F78FBEA"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0.637</w:t>
            </w:r>
            <w:r w:rsidRPr="00063075">
              <w:rPr>
                <w:rFonts w:ascii="Times New Roman" w:hAnsi="Times New Roman"/>
                <w:sz w:val="16"/>
                <w:szCs w:val="16"/>
                <w:vertAlign w:val="superscript"/>
              </w:rPr>
              <w:t>**</w:t>
            </w:r>
          </w:p>
        </w:tc>
      </w:tr>
      <w:tr w:rsidR="009B537D" w:rsidRPr="00063075" w14:paraId="4D78D282" w14:textId="77777777" w:rsidTr="00270E36">
        <w:tc>
          <w:tcPr>
            <w:tcW w:w="1836" w:type="dxa"/>
            <w:tcMar>
              <w:top w:w="100" w:type="nil"/>
              <w:right w:w="100" w:type="nil"/>
            </w:tcMar>
            <w:vAlign w:val="center"/>
          </w:tcPr>
          <w:p w14:paraId="47F8E4FC"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2757A4E"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(0.288)</w:t>
            </w:r>
          </w:p>
        </w:tc>
        <w:tc>
          <w:tcPr>
            <w:tcW w:w="1728" w:type="dxa"/>
            <w:tcMar>
              <w:top w:w="100" w:type="nil"/>
              <w:right w:w="100" w:type="nil"/>
            </w:tcMar>
            <w:vAlign w:val="center"/>
          </w:tcPr>
          <w:p w14:paraId="5FE1C53F"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(0.242)</w:t>
            </w:r>
          </w:p>
        </w:tc>
        <w:tc>
          <w:tcPr>
            <w:tcW w:w="1728" w:type="dxa"/>
            <w:tcMar>
              <w:top w:w="100" w:type="nil"/>
              <w:right w:w="100" w:type="nil"/>
            </w:tcMar>
            <w:vAlign w:val="center"/>
          </w:tcPr>
          <w:p w14:paraId="7358E397"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(0.240)</w:t>
            </w:r>
          </w:p>
        </w:tc>
        <w:tc>
          <w:tcPr>
            <w:tcW w:w="1728" w:type="dxa"/>
            <w:tcMar>
              <w:top w:w="100" w:type="nil"/>
              <w:right w:w="100" w:type="nil"/>
            </w:tcMar>
            <w:vAlign w:val="center"/>
          </w:tcPr>
          <w:p w14:paraId="342012AA"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(0.220)</w:t>
            </w:r>
          </w:p>
        </w:tc>
      </w:tr>
      <w:tr w:rsidR="009B537D" w:rsidRPr="00063075" w14:paraId="552AE554" w14:textId="77777777" w:rsidTr="00270E36">
        <w:tc>
          <w:tcPr>
            <w:tcW w:w="1836" w:type="dxa"/>
            <w:tcMar>
              <w:top w:w="100" w:type="nil"/>
              <w:right w:w="100" w:type="nil"/>
            </w:tcMar>
            <w:vAlign w:val="center"/>
          </w:tcPr>
          <w:p w14:paraId="2F309B65"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6C6472E"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2FA5B995"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03CD4500"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4DCC97E"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452E762B" w14:textId="77777777" w:rsidTr="00270E36">
        <w:tc>
          <w:tcPr>
            <w:tcW w:w="1836" w:type="dxa"/>
            <w:tcMar>
              <w:top w:w="100" w:type="nil"/>
              <w:right w:w="100" w:type="nil"/>
            </w:tcMar>
            <w:vAlign w:val="center"/>
          </w:tcPr>
          <w:p w14:paraId="69AC9969" w14:textId="77777777" w:rsidR="009B537D" w:rsidRPr="00063075" w:rsidRDefault="009B537D" w:rsidP="00270E36">
            <w:pPr>
              <w:autoSpaceDE w:val="0"/>
              <w:autoSpaceDN w:val="0"/>
              <w:adjustRightInd w:val="0"/>
              <w:rPr>
                <w:rFonts w:ascii="Times New Roman" w:hAnsi="Times New Roman"/>
                <w:sz w:val="16"/>
                <w:szCs w:val="16"/>
              </w:rPr>
            </w:pPr>
            <w:proofErr w:type="spellStart"/>
            <w:r w:rsidRPr="00063075">
              <w:rPr>
                <w:rFonts w:ascii="Times New Roman" w:hAnsi="Times New Roman"/>
                <w:sz w:val="16"/>
                <w:szCs w:val="16"/>
              </w:rPr>
              <w:t>Semicond</w:t>
            </w:r>
            <w:proofErr w:type="spellEnd"/>
            <w:r w:rsidRPr="00063075">
              <w:rPr>
                <w:rFonts w:ascii="Times New Roman" w:hAnsi="Times New Roman"/>
                <w:sz w:val="16"/>
                <w:szCs w:val="16"/>
              </w:rPr>
              <w:t>.</w:t>
            </w:r>
          </w:p>
        </w:tc>
        <w:tc>
          <w:tcPr>
            <w:tcW w:w="1728" w:type="dxa"/>
            <w:tcMar>
              <w:top w:w="100" w:type="nil"/>
              <w:right w:w="100" w:type="nil"/>
            </w:tcMar>
            <w:vAlign w:val="center"/>
          </w:tcPr>
          <w:p w14:paraId="1D863F7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1.219</w:t>
            </w:r>
            <w:r w:rsidRPr="00063075">
              <w:rPr>
                <w:rFonts w:ascii="Times New Roman" w:hAnsi="Times New Roman"/>
                <w:sz w:val="16"/>
                <w:szCs w:val="16"/>
                <w:vertAlign w:val="superscript"/>
              </w:rPr>
              <w:t>***</w:t>
            </w:r>
          </w:p>
        </w:tc>
        <w:tc>
          <w:tcPr>
            <w:tcW w:w="1728" w:type="dxa"/>
            <w:tcMar>
              <w:top w:w="100" w:type="nil"/>
              <w:right w:w="100" w:type="nil"/>
            </w:tcMar>
            <w:vAlign w:val="center"/>
          </w:tcPr>
          <w:p w14:paraId="423C93EA"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1.174</w:t>
            </w:r>
            <w:r w:rsidRPr="00063075">
              <w:rPr>
                <w:rFonts w:ascii="Times New Roman" w:hAnsi="Times New Roman"/>
                <w:sz w:val="16"/>
                <w:szCs w:val="16"/>
                <w:vertAlign w:val="superscript"/>
              </w:rPr>
              <w:t>***</w:t>
            </w:r>
          </w:p>
        </w:tc>
        <w:tc>
          <w:tcPr>
            <w:tcW w:w="1728" w:type="dxa"/>
            <w:tcMar>
              <w:top w:w="100" w:type="nil"/>
              <w:right w:w="100" w:type="nil"/>
            </w:tcMar>
            <w:vAlign w:val="center"/>
          </w:tcPr>
          <w:p w14:paraId="290344E3"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0.601</w:t>
            </w:r>
            <w:r w:rsidRPr="00063075">
              <w:rPr>
                <w:rFonts w:ascii="Times New Roman" w:hAnsi="Times New Roman"/>
                <w:sz w:val="16"/>
                <w:szCs w:val="16"/>
                <w:vertAlign w:val="superscript"/>
              </w:rPr>
              <w:t>**</w:t>
            </w:r>
          </w:p>
        </w:tc>
        <w:tc>
          <w:tcPr>
            <w:tcW w:w="1728" w:type="dxa"/>
            <w:tcMar>
              <w:top w:w="100" w:type="nil"/>
              <w:right w:w="100" w:type="nil"/>
            </w:tcMar>
            <w:vAlign w:val="center"/>
          </w:tcPr>
          <w:p w14:paraId="7D7679E0"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0.774</w:t>
            </w:r>
            <w:r w:rsidRPr="00063075">
              <w:rPr>
                <w:rFonts w:ascii="Times New Roman" w:hAnsi="Times New Roman"/>
                <w:sz w:val="16"/>
                <w:szCs w:val="16"/>
                <w:vertAlign w:val="superscript"/>
              </w:rPr>
              <w:t>***</w:t>
            </w:r>
          </w:p>
        </w:tc>
      </w:tr>
      <w:tr w:rsidR="009B537D" w:rsidRPr="00063075" w14:paraId="392074C4" w14:textId="77777777" w:rsidTr="00270E36">
        <w:tc>
          <w:tcPr>
            <w:tcW w:w="1836" w:type="dxa"/>
            <w:tcMar>
              <w:top w:w="100" w:type="nil"/>
              <w:right w:w="100" w:type="nil"/>
            </w:tcMar>
            <w:vAlign w:val="center"/>
          </w:tcPr>
          <w:p w14:paraId="227829C3"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6E6E505"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(0.256)</w:t>
            </w:r>
          </w:p>
        </w:tc>
        <w:tc>
          <w:tcPr>
            <w:tcW w:w="1728" w:type="dxa"/>
            <w:tcMar>
              <w:top w:w="100" w:type="nil"/>
              <w:right w:w="100" w:type="nil"/>
            </w:tcMar>
            <w:vAlign w:val="center"/>
          </w:tcPr>
          <w:p w14:paraId="12ECE017"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(0.228)</w:t>
            </w:r>
          </w:p>
        </w:tc>
        <w:tc>
          <w:tcPr>
            <w:tcW w:w="1728" w:type="dxa"/>
            <w:tcMar>
              <w:top w:w="100" w:type="nil"/>
              <w:right w:w="100" w:type="nil"/>
            </w:tcMar>
            <w:vAlign w:val="center"/>
          </w:tcPr>
          <w:p w14:paraId="245D7BCB"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(0.218)</w:t>
            </w:r>
          </w:p>
        </w:tc>
        <w:tc>
          <w:tcPr>
            <w:tcW w:w="1728" w:type="dxa"/>
            <w:tcMar>
              <w:top w:w="100" w:type="nil"/>
              <w:right w:w="100" w:type="nil"/>
            </w:tcMar>
            <w:vAlign w:val="center"/>
          </w:tcPr>
          <w:p w14:paraId="3162DF62"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(0.209)</w:t>
            </w:r>
          </w:p>
        </w:tc>
      </w:tr>
      <w:tr w:rsidR="009B537D" w:rsidRPr="00063075" w14:paraId="47345E79" w14:textId="77777777" w:rsidTr="00270E36">
        <w:tc>
          <w:tcPr>
            <w:tcW w:w="1836" w:type="dxa"/>
            <w:tcMar>
              <w:top w:w="100" w:type="nil"/>
              <w:right w:w="100" w:type="nil"/>
            </w:tcMar>
            <w:vAlign w:val="center"/>
          </w:tcPr>
          <w:p w14:paraId="2D2C4597"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16768926"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5C7841BB"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0C7E955A"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F345F2E"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5D20FD9E" w14:textId="77777777" w:rsidTr="00270E36">
        <w:tc>
          <w:tcPr>
            <w:tcW w:w="1836" w:type="dxa"/>
            <w:tcMar>
              <w:top w:w="100" w:type="nil"/>
              <w:right w:w="100" w:type="nil"/>
            </w:tcMar>
            <w:vAlign w:val="center"/>
          </w:tcPr>
          <w:p w14:paraId="3F191E0D"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Trans., Const.</w:t>
            </w:r>
          </w:p>
        </w:tc>
        <w:tc>
          <w:tcPr>
            <w:tcW w:w="1728" w:type="dxa"/>
            <w:tcMar>
              <w:top w:w="100" w:type="nil"/>
              <w:right w:w="100" w:type="nil"/>
            </w:tcMar>
            <w:vAlign w:val="center"/>
          </w:tcPr>
          <w:p w14:paraId="41A2A73F"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1.054</w:t>
            </w:r>
            <w:r w:rsidRPr="00063075">
              <w:rPr>
                <w:rFonts w:ascii="Times New Roman" w:hAnsi="Times New Roman"/>
                <w:sz w:val="16"/>
                <w:szCs w:val="16"/>
                <w:vertAlign w:val="superscript"/>
              </w:rPr>
              <w:t>**</w:t>
            </w:r>
          </w:p>
        </w:tc>
        <w:tc>
          <w:tcPr>
            <w:tcW w:w="1728" w:type="dxa"/>
            <w:tcMar>
              <w:top w:w="100" w:type="nil"/>
              <w:right w:w="100" w:type="nil"/>
            </w:tcMar>
            <w:vAlign w:val="center"/>
          </w:tcPr>
          <w:p w14:paraId="17F70384"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1.044</w:t>
            </w:r>
            <w:r w:rsidRPr="00063075">
              <w:rPr>
                <w:rFonts w:ascii="Times New Roman" w:hAnsi="Times New Roman"/>
                <w:sz w:val="16"/>
                <w:szCs w:val="16"/>
                <w:vertAlign w:val="superscript"/>
              </w:rPr>
              <w:t>***</w:t>
            </w:r>
          </w:p>
        </w:tc>
        <w:tc>
          <w:tcPr>
            <w:tcW w:w="1728" w:type="dxa"/>
            <w:tcMar>
              <w:top w:w="100" w:type="nil"/>
              <w:right w:w="100" w:type="nil"/>
            </w:tcMar>
            <w:vAlign w:val="center"/>
          </w:tcPr>
          <w:p w14:paraId="7A4E9A7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0.405</w:t>
            </w:r>
          </w:p>
        </w:tc>
        <w:tc>
          <w:tcPr>
            <w:tcW w:w="1728" w:type="dxa"/>
            <w:tcMar>
              <w:top w:w="100" w:type="nil"/>
              <w:right w:w="100" w:type="nil"/>
            </w:tcMar>
            <w:vAlign w:val="center"/>
          </w:tcPr>
          <w:p w14:paraId="3487E9CC"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0.541</w:t>
            </w:r>
            <w:r w:rsidRPr="00063075">
              <w:rPr>
                <w:rFonts w:ascii="Times New Roman" w:hAnsi="Times New Roman"/>
                <w:sz w:val="16"/>
                <w:szCs w:val="16"/>
                <w:vertAlign w:val="superscript"/>
              </w:rPr>
              <w:t>*</w:t>
            </w:r>
          </w:p>
        </w:tc>
      </w:tr>
      <w:tr w:rsidR="009B537D" w:rsidRPr="00063075" w14:paraId="09287821" w14:textId="77777777" w:rsidTr="00270E36">
        <w:tc>
          <w:tcPr>
            <w:tcW w:w="1836" w:type="dxa"/>
            <w:tcMar>
              <w:top w:w="100" w:type="nil"/>
              <w:right w:w="100" w:type="nil"/>
            </w:tcMar>
            <w:vAlign w:val="center"/>
          </w:tcPr>
          <w:p w14:paraId="55AE6D50"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1FA48AE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(0.342)</w:t>
            </w:r>
          </w:p>
        </w:tc>
        <w:tc>
          <w:tcPr>
            <w:tcW w:w="1728" w:type="dxa"/>
            <w:tcMar>
              <w:top w:w="100" w:type="nil"/>
              <w:right w:w="100" w:type="nil"/>
            </w:tcMar>
            <w:vAlign w:val="center"/>
          </w:tcPr>
          <w:p w14:paraId="06709409"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(0.263)</w:t>
            </w:r>
          </w:p>
        </w:tc>
        <w:tc>
          <w:tcPr>
            <w:tcW w:w="1728" w:type="dxa"/>
            <w:tcMar>
              <w:top w:w="100" w:type="nil"/>
              <w:right w:w="100" w:type="nil"/>
            </w:tcMar>
            <w:vAlign w:val="center"/>
          </w:tcPr>
          <w:p w14:paraId="27EBDCE3"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(0.261)</w:t>
            </w:r>
          </w:p>
        </w:tc>
        <w:tc>
          <w:tcPr>
            <w:tcW w:w="1728" w:type="dxa"/>
            <w:tcMar>
              <w:top w:w="100" w:type="nil"/>
              <w:right w:w="100" w:type="nil"/>
            </w:tcMar>
            <w:vAlign w:val="center"/>
          </w:tcPr>
          <w:p w14:paraId="1E85AC1C"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(0.234)</w:t>
            </w:r>
          </w:p>
        </w:tc>
      </w:tr>
      <w:tr w:rsidR="009B537D" w:rsidRPr="00063075" w14:paraId="22F6F000" w14:textId="77777777" w:rsidTr="00270E36">
        <w:tc>
          <w:tcPr>
            <w:tcW w:w="1836" w:type="dxa"/>
            <w:tcMar>
              <w:top w:w="100" w:type="nil"/>
              <w:right w:w="100" w:type="nil"/>
            </w:tcMar>
            <w:vAlign w:val="center"/>
          </w:tcPr>
          <w:p w14:paraId="7095482D"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29FEDD69"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180D0C0"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5D513CB"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4A651582"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2F231365" w14:textId="77777777" w:rsidTr="00270E36">
        <w:tc>
          <w:tcPr>
            <w:tcW w:w="1836" w:type="dxa"/>
            <w:tcMar>
              <w:top w:w="100" w:type="nil"/>
              <w:right w:w="100" w:type="nil"/>
            </w:tcMar>
            <w:vAlign w:val="center"/>
          </w:tcPr>
          <w:p w14:paraId="7661E652"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Mechanical</w:t>
            </w:r>
          </w:p>
        </w:tc>
        <w:tc>
          <w:tcPr>
            <w:tcW w:w="1728" w:type="dxa"/>
            <w:tcMar>
              <w:top w:w="100" w:type="nil"/>
              <w:right w:w="100" w:type="nil"/>
            </w:tcMar>
            <w:vAlign w:val="center"/>
          </w:tcPr>
          <w:p w14:paraId="24CDCC14"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1.383</w:t>
            </w:r>
            <w:r w:rsidRPr="00063075">
              <w:rPr>
                <w:rFonts w:ascii="Times New Roman" w:hAnsi="Times New Roman"/>
                <w:sz w:val="16"/>
                <w:szCs w:val="16"/>
                <w:vertAlign w:val="superscript"/>
              </w:rPr>
              <w:t>***</w:t>
            </w:r>
          </w:p>
        </w:tc>
        <w:tc>
          <w:tcPr>
            <w:tcW w:w="1728" w:type="dxa"/>
            <w:tcMar>
              <w:top w:w="100" w:type="nil"/>
              <w:right w:w="100" w:type="nil"/>
            </w:tcMar>
            <w:vAlign w:val="center"/>
          </w:tcPr>
          <w:p w14:paraId="061AF183"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1.106</w:t>
            </w:r>
            <w:r w:rsidRPr="00063075">
              <w:rPr>
                <w:rFonts w:ascii="Times New Roman" w:hAnsi="Times New Roman"/>
                <w:sz w:val="16"/>
                <w:szCs w:val="16"/>
                <w:vertAlign w:val="superscript"/>
              </w:rPr>
              <w:t>***</w:t>
            </w:r>
          </w:p>
        </w:tc>
        <w:tc>
          <w:tcPr>
            <w:tcW w:w="1728" w:type="dxa"/>
            <w:tcMar>
              <w:top w:w="100" w:type="nil"/>
              <w:right w:w="100" w:type="nil"/>
            </w:tcMar>
            <w:vAlign w:val="center"/>
          </w:tcPr>
          <w:p w14:paraId="52AFE4B0"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0.406</w:t>
            </w:r>
          </w:p>
        </w:tc>
        <w:tc>
          <w:tcPr>
            <w:tcW w:w="1728" w:type="dxa"/>
            <w:tcMar>
              <w:top w:w="100" w:type="nil"/>
              <w:right w:w="100" w:type="nil"/>
            </w:tcMar>
            <w:vAlign w:val="center"/>
          </w:tcPr>
          <w:p w14:paraId="40E51352"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0.548</w:t>
            </w:r>
            <w:r w:rsidRPr="00063075">
              <w:rPr>
                <w:rFonts w:ascii="Times New Roman" w:hAnsi="Times New Roman"/>
                <w:sz w:val="16"/>
                <w:szCs w:val="16"/>
                <w:vertAlign w:val="superscript"/>
              </w:rPr>
              <w:t>*</w:t>
            </w:r>
          </w:p>
        </w:tc>
      </w:tr>
      <w:tr w:rsidR="009B537D" w:rsidRPr="00063075" w14:paraId="57A11443" w14:textId="77777777" w:rsidTr="00270E36">
        <w:tc>
          <w:tcPr>
            <w:tcW w:w="1836" w:type="dxa"/>
            <w:tcMar>
              <w:top w:w="100" w:type="nil"/>
              <w:right w:w="100" w:type="nil"/>
            </w:tcMar>
            <w:vAlign w:val="center"/>
          </w:tcPr>
          <w:p w14:paraId="6FABE507"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07E277E"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(0.298)</w:t>
            </w:r>
          </w:p>
        </w:tc>
        <w:tc>
          <w:tcPr>
            <w:tcW w:w="1728" w:type="dxa"/>
            <w:tcMar>
              <w:top w:w="100" w:type="nil"/>
              <w:right w:w="100" w:type="nil"/>
            </w:tcMar>
            <w:vAlign w:val="center"/>
          </w:tcPr>
          <w:p w14:paraId="72BDE09E"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(0.247)</w:t>
            </w:r>
          </w:p>
        </w:tc>
        <w:tc>
          <w:tcPr>
            <w:tcW w:w="1728" w:type="dxa"/>
            <w:tcMar>
              <w:top w:w="100" w:type="nil"/>
              <w:right w:w="100" w:type="nil"/>
            </w:tcMar>
            <w:vAlign w:val="center"/>
          </w:tcPr>
          <w:p w14:paraId="795EF10D"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(0.237)</w:t>
            </w:r>
          </w:p>
        </w:tc>
        <w:tc>
          <w:tcPr>
            <w:tcW w:w="1728" w:type="dxa"/>
            <w:tcMar>
              <w:top w:w="100" w:type="nil"/>
              <w:right w:w="100" w:type="nil"/>
            </w:tcMar>
            <w:vAlign w:val="center"/>
          </w:tcPr>
          <w:p w14:paraId="4A52700A"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(0.224)</w:t>
            </w:r>
          </w:p>
        </w:tc>
      </w:tr>
      <w:tr w:rsidR="009B537D" w:rsidRPr="00063075" w14:paraId="25C85B75" w14:textId="77777777" w:rsidTr="00270E36">
        <w:tc>
          <w:tcPr>
            <w:tcW w:w="1836" w:type="dxa"/>
            <w:tcMar>
              <w:top w:w="100" w:type="nil"/>
              <w:right w:w="100" w:type="nil"/>
            </w:tcMar>
            <w:vAlign w:val="center"/>
          </w:tcPr>
          <w:p w14:paraId="59932601" w14:textId="77777777" w:rsidR="009B537D" w:rsidRPr="00063075" w:rsidRDefault="009B537D" w:rsidP="00270E36">
            <w:pPr>
              <w:autoSpaceDE w:val="0"/>
              <w:autoSpaceDN w:val="0"/>
              <w:adjustRightInd w:val="0"/>
              <w:rPr>
                <w:rFonts w:ascii="Times New Roman" w:hAnsi="Times New Roman"/>
                <w:b/>
                <w:bCs/>
                <w:i/>
                <w:iCs/>
                <w:sz w:val="16"/>
                <w:szCs w:val="16"/>
              </w:rPr>
            </w:pPr>
          </w:p>
        </w:tc>
        <w:tc>
          <w:tcPr>
            <w:tcW w:w="1728" w:type="dxa"/>
            <w:tcMar>
              <w:top w:w="100" w:type="nil"/>
              <w:right w:w="100" w:type="nil"/>
            </w:tcMar>
            <w:vAlign w:val="center"/>
          </w:tcPr>
          <w:p w14:paraId="7D25E221"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Mar>
              <w:top w:w="100" w:type="nil"/>
              <w:right w:w="100" w:type="nil"/>
            </w:tcMar>
            <w:vAlign w:val="center"/>
          </w:tcPr>
          <w:p w14:paraId="3161102A"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Mar>
              <w:top w:w="100" w:type="nil"/>
              <w:right w:w="100" w:type="nil"/>
            </w:tcMar>
            <w:vAlign w:val="center"/>
          </w:tcPr>
          <w:p w14:paraId="73B5DE9E"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Mar>
              <w:top w:w="100" w:type="nil"/>
              <w:right w:w="100" w:type="nil"/>
            </w:tcMar>
            <w:vAlign w:val="center"/>
          </w:tcPr>
          <w:p w14:paraId="232A388E" w14:textId="77777777" w:rsidR="009B537D" w:rsidRPr="00063075" w:rsidRDefault="009B537D" w:rsidP="00270E36">
            <w:pPr>
              <w:autoSpaceDE w:val="0"/>
              <w:autoSpaceDN w:val="0"/>
              <w:adjustRightInd w:val="0"/>
              <w:jc w:val="center"/>
              <w:rPr>
                <w:rFonts w:ascii="Times New Roman" w:hAnsi="Times New Roman"/>
                <w:sz w:val="16"/>
                <w:szCs w:val="16"/>
              </w:rPr>
            </w:pPr>
          </w:p>
        </w:tc>
      </w:tr>
      <w:tr w:rsidR="009B537D" w:rsidRPr="00063075" w14:paraId="6044361B" w14:textId="77777777" w:rsidTr="00270E36">
        <w:tc>
          <w:tcPr>
            <w:tcW w:w="1836" w:type="dxa"/>
            <w:tcMar>
              <w:top w:w="100" w:type="nil"/>
              <w:right w:w="100" w:type="nil"/>
            </w:tcMar>
            <w:vAlign w:val="center"/>
          </w:tcPr>
          <w:p w14:paraId="12695001" w14:textId="77777777" w:rsidR="009B537D" w:rsidRPr="00063075" w:rsidRDefault="009B537D" w:rsidP="00270E36">
            <w:pPr>
              <w:autoSpaceDE w:val="0"/>
              <w:autoSpaceDN w:val="0"/>
              <w:adjustRightInd w:val="0"/>
              <w:rPr>
                <w:rFonts w:ascii="Times New Roman" w:hAnsi="Times New Roman"/>
                <w:b/>
                <w:bCs/>
                <w:i/>
                <w:iCs/>
                <w:sz w:val="16"/>
                <w:szCs w:val="16"/>
              </w:rPr>
            </w:pPr>
            <w:r w:rsidRPr="00063075">
              <w:rPr>
                <w:rFonts w:ascii="Times New Roman" w:hAnsi="Times New Roman"/>
                <w:b/>
                <w:bCs/>
                <w:i/>
                <w:iCs/>
                <w:sz w:val="16"/>
                <w:szCs w:val="16"/>
              </w:rPr>
              <w:t>Parties</w:t>
            </w:r>
          </w:p>
        </w:tc>
        <w:tc>
          <w:tcPr>
            <w:tcW w:w="1728" w:type="dxa"/>
            <w:tcMar>
              <w:top w:w="100" w:type="nil"/>
              <w:right w:w="100" w:type="nil"/>
            </w:tcMar>
            <w:vAlign w:val="center"/>
          </w:tcPr>
          <w:p w14:paraId="6D2EE830"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Mar>
              <w:top w:w="100" w:type="nil"/>
              <w:right w:w="100" w:type="nil"/>
            </w:tcMar>
            <w:vAlign w:val="center"/>
          </w:tcPr>
          <w:p w14:paraId="3B8E71A0"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Mar>
              <w:top w:w="100" w:type="nil"/>
              <w:right w:w="100" w:type="nil"/>
            </w:tcMar>
            <w:vAlign w:val="center"/>
          </w:tcPr>
          <w:p w14:paraId="62A9C816"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Mar>
              <w:top w:w="100" w:type="nil"/>
              <w:right w:w="100" w:type="nil"/>
            </w:tcMar>
            <w:vAlign w:val="center"/>
          </w:tcPr>
          <w:p w14:paraId="266DE057" w14:textId="77777777" w:rsidR="009B537D" w:rsidRPr="00063075" w:rsidRDefault="009B537D" w:rsidP="00270E36">
            <w:pPr>
              <w:autoSpaceDE w:val="0"/>
              <w:autoSpaceDN w:val="0"/>
              <w:adjustRightInd w:val="0"/>
              <w:jc w:val="center"/>
              <w:rPr>
                <w:rFonts w:ascii="Times New Roman" w:hAnsi="Times New Roman"/>
                <w:sz w:val="16"/>
                <w:szCs w:val="16"/>
              </w:rPr>
            </w:pPr>
          </w:p>
        </w:tc>
      </w:tr>
      <w:tr w:rsidR="009B537D" w:rsidRPr="00063075" w14:paraId="5716A2E2" w14:textId="77777777" w:rsidTr="00270E36">
        <w:tc>
          <w:tcPr>
            <w:tcW w:w="1836" w:type="dxa"/>
            <w:tcMar>
              <w:top w:w="100" w:type="nil"/>
              <w:right w:w="100" w:type="nil"/>
            </w:tcMar>
            <w:vAlign w:val="center"/>
          </w:tcPr>
          <w:p w14:paraId="33DC951B"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Corp. Pet.</w:t>
            </w:r>
          </w:p>
        </w:tc>
        <w:tc>
          <w:tcPr>
            <w:tcW w:w="1728" w:type="dxa"/>
            <w:tcMar>
              <w:top w:w="100" w:type="nil"/>
              <w:right w:w="100" w:type="nil"/>
            </w:tcMar>
            <w:vAlign w:val="center"/>
          </w:tcPr>
          <w:p w14:paraId="30510AD8"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0.124</w:t>
            </w:r>
          </w:p>
        </w:tc>
        <w:tc>
          <w:tcPr>
            <w:tcW w:w="1728" w:type="dxa"/>
            <w:tcMar>
              <w:top w:w="100" w:type="nil"/>
              <w:right w:w="100" w:type="nil"/>
            </w:tcMar>
            <w:vAlign w:val="center"/>
          </w:tcPr>
          <w:p w14:paraId="3019D8BC"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0.0109</w:t>
            </w:r>
          </w:p>
        </w:tc>
        <w:tc>
          <w:tcPr>
            <w:tcW w:w="1728" w:type="dxa"/>
            <w:tcMar>
              <w:top w:w="100" w:type="nil"/>
              <w:right w:w="100" w:type="nil"/>
            </w:tcMar>
            <w:vAlign w:val="center"/>
          </w:tcPr>
          <w:p w14:paraId="6A9C7D16"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0.266</w:t>
            </w:r>
          </w:p>
        </w:tc>
        <w:tc>
          <w:tcPr>
            <w:tcW w:w="1728" w:type="dxa"/>
            <w:tcMar>
              <w:top w:w="100" w:type="nil"/>
              <w:right w:w="100" w:type="nil"/>
            </w:tcMar>
            <w:vAlign w:val="center"/>
          </w:tcPr>
          <w:p w14:paraId="10779833"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0.169</w:t>
            </w:r>
          </w:p>
        </w:tc>
      </w:tr>
      <w:tr w:rsidR="009B537D" w:rsidRPr="00063075" w14:paraId="46FA0F6B" w14:textId="77777777" w:rsidTr="00270E36">
        <w:tc>
          <w:tcPr>
            <w:tcW w:w="1836" w:type="dxa"/>
            <w:tcMar>
              <w:top w:w="100" w:type="nil"/>
              <w:right w:w="100" w:type="nil"/>
            </w:tcMar>
            <w:vAlign w:val="center"/>
          </w:tcPr>
          <w:p w14:paraId="1A73A773"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1EB971B"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(0.168)</w:t>
            </w:r>
          </w:p>
        </w:tc>
        <w:tc>
          <w:tcPr>
            <w:tcW w:w="1728" w:type="dxa"/>
            <w:tcMar>
              <w:top w:w="100" w:type="nil"/>
              <w:right w:w="100" w:type="nil"/>
            </w:tcMar>
            <w:vAlign w:val="center"/>
          </w:tcPr>
          <w:p w14:paraId="2610C6B8"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(0.153)</w:t>
            </w:r>
          </w:p>
        </w:tc>
        <w:tc>
          <w:tcPr>
            <w:tcW w:w="1728" w:type="dxa"/>
            <w:tcMar>
              <w:top w:w="100" w:type="nil"/>
              <w:right w:w="100" w:type="nil"/>
            </w:tcMar>
            <w:vAlign w:val="center"/>
          </w:tcPr>
          <w:p w14:paraId="6CA44780"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(0.146)</w:t>
            </w:r>
          </w:p>
        </w:tc>
        <w:tc>
          <w:tcPr>
            <w:tcW w:w="1728" w:type="dxa"/>
            <w:tcMar>
              <w:top w:w="100" w:type="nil"/>
              <w:right w:w="100" w:type="nil"/>
            </w:tcMar>
            <w:vAlign w:val="center"/>
          </w:tcPr>
          <w:p w14:paraId="7557DE5A"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(0.125)</w:t>
            </w:r>
          </w:p>
        </w:tc>
      </w:tr>
      <w:tr w:rsidR="009B537D" w:rsidRPr="00063075" w14:paraId="45DD67E3" w14:textId="77777777" w:rsidTr="00270E36">
        <w:tc>
          <w:tcPr>
            <w:tcW w:w="1836" w:type="dxa"/>
            <w:tcMar>
              <w:top w:w="100" w:type="nil"/>
              <w:right w:w="100" w:type="nil"/>
            </w:tcMar>
            <w:vAlign w:val="center"/>
          </w:tcPr>
          <w:p w14:paraId="022E44EE"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441715C2"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44AA8F44"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5E4701BD"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51A87EC"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6D42C585" w14:textId="77777777" w:rsidTr="00270E36">
        <w:tc>
          <w:tcPr>
            <w:tcW w:w="1836" w:type="dxa"/>
            <w:tcMar>
              <w:top w:w="100" w:type="nil"/>
              <w:right w:w="100" w:type="nil"/>
            </w:tcMar>
            <w:vAlign w:val="center"/>
          </w:tcPr>
          <w:p w14:paraId="59E752AB"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PAE Patentee</w:t>
            </w:r>
          </w:p>
        </w:tc>
        <w:tc>
          <w:tcPr>
            <w:tcW w:w="1728" w:type="dxa"/>
            <w:tcMar>
              <w:top w:w="100" w:type="nil"/>
              <w:right w:w="100" w:type="nil"/>
            </w:tcMar>
            <w:vAlign w:val="center"/>
          </w:tcPr>
          <w:p w14:paraId="1A5B56D8"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0.351</w:t>
            </w:r>
            <w:r w:rsidRPr="00063075">
              <w:rPr>
                <w:rFonts w:ascii="Times New Roman" w:hAnsi="Times New Roman"/>
                <w:sz w:val="16"/>
                <w:szCs w:val="16"/>
                <w:vertAlign w:val="superscript"/>
              </w:rPr>
              <w:t>*</w:t>
            </w:r>
          </w:p>
        </w:tc>
        <w:tc>
          <w:tcPr>
            <w:tcW w:w="1728" w:type="dxa"/>
            <w:tcMar>
              <w:top w:w="100" w:type="nil"/>
              <w:right w:w="100" w:type="nil"/>
            </w:tcMar>
            <w:vAlign w:val="center"/>
          </w:tcPr>
          <w:p w14:paraId="3D1F6573"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0.381</w:t>
            </w:r>
            <w:r w:rsidRPr="00063075">
              <w:rPr>
                <w:rFonts w:ascii="Times New Roman" w:hAnsi="Times New Roman"/>
                <w:sz w:val="16"/>
                <w:szCs w:val="16"/>
                <w:vertAlign w:val="superscript"/>
              </w:rPr>
              <w:t>**</w:t>
            </w:r>
          </w:p>
        </w:tc>
        <w:tc>
          <w:tcPr>
            <w:tcW w:w="1728" w:type="dxa"/>
            <w:tcMar>
              <w:top w:w="100" w:type="nil"/>
              <w:right w:w="100" w:type="nil"/>
            </w:tcMar>
            <w:vAlign w:val="center"/>
          </w:tcPr>
          <w:p w14:paraId="7883C377"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0.436</w:t>
            </w:r>
            <w:r w:rsidRPr="00063075">
              <w:rPr>
                <w:rFonts w:ascii="Times New Roman" w:hAnsi="Times New Roman"/>
                <w:sz w:val="16"/>
                <w:szCs w:val="16"/>
                <w:vertAlign w:val="superscript"/>
              </w:rPr>
              <w:t>***</w:t>
            </w:r>
          </w:p>
        </w:tc>
        <w:tc>
          <w:tcPr>
            <w:tcW w:w="1728" w:type="dxa"/>
            <w:tcMar>
              <w:top w:w="100" w:type="nil"/>
              <w:right w:w="100" w:type="nil"/>
            </w:tcMar>
            <w:vAlign w:val="center"/>
          </w:tcPr>
          <w:p w14:paraId="71EEB280"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0.357</w:t>
            </w:r>
            <w:r w:rsidRPr="00063075">
              <w:rPr>
                <w:rFonts w:ascii="Times New Roman" w:hAnsi="Times New Roman"/>
                <w:sz w:val="16"/>
                <w:szCs w:val="16"/>
                <w:vertAlign w:val="superscript"/>
              </w:rPr>
              <w:t>***</w:t>
            </w:r>
          </w:p>
        </w:tc>
      </w:tr>
      <w:tr w:rsidR="009B537D" w:rsidRPr="00063075" w14:paraId="6737648E" w14:textId="77777777" w:rsidTr="00270E36">
        <w:tc>
          <w:tcPr>
            <w:tcW w:w="1836" w:type="dxa"/>
            <w:tcMar>
              <w:top w:w="100" w:type="nil"/>
              <w:right w:w="100" w:type="nil"/>
            </w:tcMar>
            <w:vAlign w:val="center"/>
          </w:tcPr>
          <w:p w14:paraId="35A0643F"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5329223"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(0.160)</w:t>
            </w:r>
          </w:p>
        </w:tc>
        <w:tc>
          <w:tcPr>
            <w:tcW w:w="1728" w:type="dxa"/>
            <w:tcMar>
              <w:top w:w="100" w:type="nil"/>
              <w:right w:w="100" w:type="nil"/>
            </w:tcMar>
            <w:vAlign w:val="center"/>
          </w:tcPr>
          <w:p w14:paraId="601D2CF8"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(0.131)</w:t>
            </w:r>
          </w:p>
        </w:tc>
        <w:tc>
          <w:tcPr>
            <w:tcW w:w="1728" w:type="dxa"/>
            <w:tcMar>
              <w:top w:w="100" w:type="nil"/>
              <w:right w:w="100" w:type="nil"/>
            </w:tcMar>
            <w:vAlign w:val="center"/>
          </w:tcPr>
          <w:p w14:paraId="5A530148"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(0.129)</w:t>
            </w:r>
          </w:p>
        </w:tc>
        <w:tc>
          <w:tcPr>
            <w:tcW w:w="1728" w:type="dxa"/>
            <w:tcMar>
              <w:top w:w="100" w:type="nil"/>
              <w:right w:w="100" w:type="nil"/>
            </w:tcMar>
            <w:vAlign w:val="center"/>
          </w:tcPr>
          <w:p w14:paraId="3D65032B"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(0.106)</w:t>
            </w:r>
          </w:p>
        </w:tc>
      </w:tr>
      <w:tr w:rsidR="009B537D" w:rsidRPr="00063075" w14:paraId="65CE8A18" w14:textId="77777777" w:rsidTr="00270E36">
        <w:tc>
          <w:tcPr>
            <w:tcW w:w="1836" w:type="dxa"/>
            <w:tcMar>
              <w:top w:w="100" w:type="nil"/>
              <w:right w:w="100" w:type="nil"/>
            </w:tcMar>
            <w:vAlign w:val="center"/>
          </w:tcPr>
          <w:p w14:paraId="531996EB"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17BF8E77"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2AC91D95"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0080B95F"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55415A0"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4E51CC9C" w14:textId="77777777" w:rsidTr="00270E36">
        <w:tc>
          <w:tcPr>
            <w:tcW w:w="1836" w:type="dxa"/>
            <w:tcMar>
              <w:top w:w="100" w:type="nil"/>
              <w:right w:w="100" w:type="nil"/>
            </w:tcMar>
            <w:vAlign w:val="center"/>
          </w:tcPr>
          <w:p w14:paraId="3F94A066"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SME Patentee</w:t>
            </w:r>
          </w:p>
        </w:tc>
        <w:tc>
          <w:tcPr>
            <w:tcW w:w="1728" w:type="dxa"/>
            <w:tcMar>
              <w:top w:w="100" w:type="nil"/>
              <w:right w:w="100" w:type="nil"/>
            </w:tcMar>
            <w:vAlign w:val="center"/>
          </w:tcPr>
          <w:p w14:paraId="43DA2F30"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0.547</w:t>
            </w:r>
          </w:p>
        </w:tc>
        <w:tc>
          <w:tcPr>
            <w:tcW w:w="1728" w:type="dxa"/>
            <w:tcMar>
              <w:top w:w="100" w:type="nil"/>
              <w:right w:w="100" w:type="nil"/>
            </w:tcMar>
            <w:vAlign w:val="center"/>
          </w:tcPr>
          <w:p w14:paraId="24511EE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0.845</w:t>
            </w:r>
            <w:r w:rsidRPr="00063075">
              <w:rPr>
                <w:rFonts w:ascii="Times New Roman" w:hAnsi="Times New Roman"/>
                <w:sz w:val="16"/>
                <w:szCs w:val="16"/>
                <w:vertAlign w:val="superscript"/>
              </w:rPr>
              <w:t>***</w:t>
            </w:r>
          </w:p>
        </w:tc>
        <w:tc>
          <w:tcPr>
            <w:tcW w:w="1728" w:type="dxa"/>
            <w:tcMar>
              <w:top w:w="100" w:type="nil"/>
              <w:right w:w="100" w:type="nil"/>
            </w:tcMar>
            <w:vAlign w:val="center"/>
          </w:tcPr>
          <w:p w14:paraId="571A5A6E"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0.331</w:t>
            </w:r>
          </w:p>
        </w:tc>
        <w:tc>
          <w:tcPr>
            <w:tcW w:w="1728" w:type="dxa"/>
            <w:tcMar>
              <w:top w:w="100" w:type="nil"/>
              <w:right w:w="100" w:type="nil"/>
            </w:tcMar>
            <w:vAlign w:val="center"/>
          </w:tcPr>
          <w:p w14:paraId="290C0CBF"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0.593</w:t>
            </w:r>
            <w:r w:rsidRPr="00063075">
              <w:rPr>
                <w:rFonts w:ascii="Times New Roman" w:hAnsi="Times New Roman"/>
                <w:sz w:val="16"/>
                <w:szCs w:val="16"/>
                <w:vertAlign w:val="superscript"/>
              </w:rPr>
              <w:t>***</w:t>
            </w:r>
          </w:p>
        </w:tc>
      </w:tr>
      <w:tr w:rsidR="009B537D" w:rsidRPr="00063075" w14:paraId="72261309" w14:textId="77777777" w:rsidTr="00270E36">
        <w:tc>
          <w:tcPr>
            <w:tcW w:w="1836" w:type="dxa"/>
            <w:tcMar>
              <w:top w:w="100" w:type="nil"/>
              <w:right w:w="100" w:type="nil"/>
            </w:tcMar>
            <w:vAlign w:val="center"/>
          </w:tcPr>
          <w:p w14:paraId="3323529E"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D2537FC"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(0.282)</w:t>
            </w:r>
          </w:p>
        </w:tc>
        <w:tc>
          <w:tcPr>
            <w:tcW w:w="1728" w:type="dxa"/>
            <w:tcMar>
              <w:top w:w="100" w:type="nil"/>
              <w:right w:w="100" w:type="nil"/>
            </w:tcMar>
            <w:vAlign w:val="center"/>
          </w:tcPr>
          <w:p w14:paraId="47E1AE6A"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(0.235)</w:t>
            </w:r>
          </w:p>
        </w:tc>
        <w:tc>
          <w:tcPr>
            <w:tcW w:w="1728" w:type="dxa"/>
            <w:tcMar>
              <w:top w:w="100" w:type="nil"/>
              <w:right w:w="100" w:type="nil"/>
            </w:tcMar>
            <w:vAlign w:val="center"/>
          </w:tcPr>
          <w:p w14:paraId="37ECF9B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(0.204)</w:t>
            </w:r>
          </w:p>
        </w:tc>
        <w:tc>
          <w:tcPr>
            <w:tcW w:w="1728" w:type="dxa"/>
            <w:tcMar>
              <w:top w:w="100" w:type="nil"/>
              <w:right w:w="100" w:type="nil"/>
            </w:tcMar>
            <w:vAlign w:val="center"/>
          </w:tcPr>
          <w:p w14:paraId="1933C555"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(0.171)</w:t>
            </w:r>
          </w:p>
        </w:tc>
      </w:tr>
      <w:tr w:rsidR="009B537D" w:rsidRPr="00063075" w14:paraId="4BD9C141" w14:textId="77777777" w:rsidTr="00270E36">
        <w:tc>
          <w:tcPr>
            <w:tcW w:w="1836" w:type="dxa"/>
            <w:tcMar>
              <w:top w:w="100" w:type="nil"/>
              <w:right w:w="100" w:type="nil"/>
            </w:tcMar>
            <w:vAlign w:val="center"/>
          </w:tcPr>
          <w:p w14:paraId="39B53336" w14:textId="77777777" w:rsidR="009B537D" w:rsidRPr="00063075" w:rsidRDefault="009B537D" w:rsidP="00270E36">
            <w:pPr>
              <w:autoSpaceDE w:val="0"/>
              <w:autoSpaceDN w:val="0"/>
              <w:adjustRightInd w:val="0"/>
              <w:rPr>
                <w:rFonts w:ascii="Times New Roman" w:hAnsi="Times New Roman"/>
                <w:b/>
                <w:bCs/>
                <w:i/>
                <w:iCs/>
                <w:sz w:val="16"/>
                <w:szCs w:val="16"/>
              </w:rPr>
            </w:pPr>
          </w:p>
        </w:tc>
        <w:tc>
          <w:tcPr>
            <w:tcW w:w="1728" w:type="dxa"/>
            <w:tcMar>
              <w:top w:w="100" w:type="nil"/>
              <w:right w:w="100" w:type="nil"/>
            </w:tcMar>
            <w:vAlign w:val="center"/>
          </w:tcPr>
          <w:p w14:paraId="777A6AAB"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2E5B09F9"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59A6601"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F481851"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43F564E1" w14:textId="77777777" w:rsidTr="00270E36">
        <w:tc>
          <w:tcPr>
            <w:tcW w:w="1836" w:type="dxa"/>
            <w:tcMar>
              <w:top w:w="100" w:type="nil"/>
              <w:right w:w="100" w:type="nil"/>
            </w:tcMar>
            <w:vAlign w:val="center"/>
          </w:tcPr>
          <w:p w14:paraId="7BD7AEAE" w14:textId="77777777" w:rsidR="009B537D" w:rsidRPr="00063075" w:rsidRDefault="009B537D" w:rsidP="00270E36">
            <w:pPr>
              <w:autoSpaceDE w:val="0"/>
              <w:autoSpaceDN w:val="0"/>
              <w:adjustRightInd w:val="0"/>
              <w:rPr>
                <w:rFonts w:ascii="Times New Roman" w:hAnsi="Times New Roman"/>
                <w:b/>
                <w:bCs/>
                <w:i/>
                <w:iCs/>
                <w:sz w:val="16"/>
                <w:szCs w:val="16"/>
              </w:rPr>
            </w:pPr>
            <w:r w:rsidRPr="00063075">
              <w:rPr>
                <w:rFonts w:ascii="Times New Roman" w:hAnsi="Times New Roman"/>
                <w:b/>
                <w:bCs/>
                <w:i/>
                <w:iCs/>
                <w:sz w:val="16"/>
                <w:szCs w:val="16"/>
              </w:rPr>
              <w:t>Substantive</w:t>
            </w:r>
          </w:p>
        </w:tc>
        <w:tc>
          <w:tcPr>
            <w:tcW w:w="1728" w:type="dxa"/>
            <w:tcMar>
              <w:top w:w="100" w:type="nil"/>
              <w:right w:w="100" w:type="nil"/>
            </w:tcMar>
            <w:vAlign w:val="center"/>
          </w:tcPr>
          <w:p w14:paraId="1C5541C6"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0DC90673"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409221F"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1D6EEFE2"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4DB91B51" w14:textId="77777777" w:rsidTr="00270E36">
        <w:tc>
          <w:tcPr>
            <w:tcW w:w="1836" w:type="dxa"/>
            <w:tcMar>
              <w:top w:w="100" w:type="nil"/>
              <w:right w:w="100" w:type="nil"/>
            </w:tcMar>
            <w:vAlign w:val="center"/>
          </w:tcPr>
          <w:p w14:paraId="382BD2EC"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Institute 102</w:t>
            </w:r>
          </w:p>
        </w:tc>
        <w:tc>
          <w:tcPr>
            <w:tcW w:w="1728" w:type="dxa"/>
            <w:tcMar>
              <w:top w:w="100" w:type="nil"/>
              <w:right w:w="100" w:type="nil"/>
            </w:tcMar>
            <w:vAlign w:val="center"/>
          </w:tcPr>
          <w:p w14:paraId="044770A5"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0.218</w:t>
            </w:r>
          </w:p>
        </w:tc>
        <w:tc>
          <w:tcPr>
            <w:tcW w:w="1728" w:type="dxa"/>
            <w:tcMar>
              <w:top w:w="100" w:type="nil"/>
              <w:right w:w="100" w:type="nil"/>
            </w:tcMar>
            <w:vAlign w:val="center"/>
          </w:tcPr>
          <w:p w14:paraId="43B9134D"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0.178</w:t>
            </w:r>
          </w:p>
        </w:tc>
        <w:tc>
          <w:tcPr>
            <w:tcW w:w="1728" w:type="dxa"/>
            <w:tcMar>
              <w:top w:w="100" w:type="nil"/>
              <w:right w:w="100" w:type="nil"/>
            </w:tcMar>
            <w:vAlign w:val="center"/>
          </w:tcPr>
          <w:p w14:paraId="2E26550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-0.350</w:t>
            </w:r>
          </w:p>
        </w:tc>
        <w:tc>
          <w:tcPr>
            <w:tcW w:w="1728" w:type="dxa"/>
            <w:tcMar>
              <w:top w:w="100" w:type="nil"/>
              <w:right w:w="100" w:type="nil"/>
            </w:tcMar>
            <w:vAlign w:val="center"/>
          </w:tcPr>
          <w:p w14:paraId="0F97CDA6"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-0.392</w:t>
            </w:r>
          </w:p>
        </w:tc>
      </w:tr>
      <w:tr w:rsidR="009B537D" w:rsidRPr="00063075" w14:paraId="43763986" w14:textId="77777777" w:rsidTr="00270E36">
        <w:tc>
          <w:tcPr>
            <w:tcW w:w="1836" w:type="dxa"/>
            <w:tcMar>
              <w:top w:w="100" w:type="nil"/>
              <w:right w:w="100" w:type="nil"/>
            </w:tcMar>
            <w:vAlign w:val="center"/>
          </w:tcPr>
          <w:p w14:paraId="5159CD3D"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D237CB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(0.348)</w:t>
            </w:r>
          </w:p>
        </w:tc>
        <w:tc>
          <w:tcPr>
            <w:tcW w:w="1728" w:type="dxa"/>
            <w:tcMar>
              <w:top w:w="100" w:type="nil"/>
              <w:right w:w="100" w:type="nil"/>
            </w:tcMar>
            <w:vAlign w:val="center"/>
          </w:tcPr>
          <w:p w14:paraId="557382D8"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(0.384)</w:t>
            </w:r>
          </w:p>
        </w:tc>
        <w:tc>
          <w:tcPr>
            <w:tcW w:w="1728" w:type="dxa"/>
            <w:tcMar>
              <w:top w:w="100" w:type="nil"/>
              <w:right w:w="100" w:type="nil"/>
            </w:tcMar>
            <w:vAlign w:val="center"/>
          </w:tcPr>
          <w:p w14:paraId="4B6F6BB7"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(0.258)</w:t>
            </w:r>
          </w:p>
        </w:tc>
        <w:tc>
          <w:tcPr>
            <w:tcW w:w="1728" w:type="dxa"/>
            <w:tcMar>
              <w:top w:w="100" w:type="nil"/>
              <w:right w:w="100" w:type="nil"/>
            </w:tcMar>
            <w:vAlign w:val="center"/>
          </w:tcPr>
          <w:p w14:paraId="0C841DC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(0.300)</w:t>
            </w:r>
          </w:p>
        </w:tc>
      </w:tr>
      <w:tr w:rsidR="009B537D" w:rsidRPr="00063075" w14:paraId="561C51E6" w14:textId="77777777" w:rsidTr="00270E36">
        <w:tc>
          <w:tcPr>
            <w:tcW w:w="1836" w:type="dxa"/>
            <w:tcMar>
              <w:top w:w="100" w:type="nil"/>
              <w:right w:w="100" w:type="nil"/>
            </w:tcMar>
            <w:vAlign w:val="center"/>
          </w:tcPr>
          <w:p w14:paraId="29899D4D"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1F6461B9"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905CC5F"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1E7E545F"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F777DA7"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689A9409" w14:textId="77777777" w:rsidTr="00270E36">
        <w:tc>
          <w:tcPr>
            <w:tcW w:w="1836" w:type="dxa"/>
            <w:tcMar>
              <w:top w:w="100" w:type="nil"/>
              <w:right w:w="100" w:type="nil"/>
            </w:tcMar>
            <w:vAlign w:val="center"/>
          </w:tcPr>
          <w:p w14:paraId="177EC37E"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Institute 103</w:t>
            </w:r>
          </w:p>
        </w:tc>
        <w:tc>
          <w:tcPr>
            <w:tcW w:w="1728" w:type="dxa"/>
            <w:tcMar>
              <w:top w:w="100" w:type="nil"/>
              <w:right w:w="100" w:type="nil"/>
            </w:tcMar>
            <w:vAlign w:val="center"/>
          </w:tcPr>
          <w:p w14:paraId="751E719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-0.183</w:t>
            </w:r>
          </w:p>
        </w:tc>
        <w:tc>
          <w:tcPr>
            <w:tcW w:w="1728" w:type="dxa"/>
            <w:tcMar>
              <w:top w:w="100" w:type="nil"/>
              <w:right w:w="100" w:type="nil"/>
            </w:tcMar>
            <w:vAlign w:val="center"/>
          </w:tcPr>
          <w:p w14:paraId="2BF7BBBE"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-0.0842</w:t>
            </w:r>
          </w:p>
        </w:tc>
        <w:tc>
          <w:tcPr>
            <w:tcW w:w="1728" w:type="dxa"/>
            <w:tcMar>
              <w:top w:w="100" w:type="nil"/>
              <w:right w:w="100" w:type="nil"/>
            </w:tcMar>
            <w:vAlign w:val="center"/>
          </w:tcPr>
          <w:p w14:paraId="59EA296F"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0.0882</w:t>
            </w:r>
          </w:p>
        </w:tc>
        <w:tc>
          <w:tcPr>
            <w:tcW w:w="1728" w:type="dxa"/>
            <w:tcMar>
              <w:top w:w="100" w:type="nil"/>
              <w:right w:w="100" w:type="nil"/>
            </w:tcMar>
            <w:vAlign w:val="center"/>
          </w:tcPr>
          <w:p w14:paraId="0744771F"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0.230</w:t>
            </w:r>
          </w:p>
        </w:tc>
      </w:tr>
      <w:tr w:rsidR="009B537D" w:rsidRPr="00063075" w14:paraId="44790652" w14:textId="77777777" w:rsidTr="00270E36">
        <w:tc>
          <w:tcPr>
            <w:tcW w:w="1836" w:type="dxa"/>
            <w:tcMar>
              <w:top w:w="100" w:type="nil"/>
              <w:right w:w="100" w:type="nil"/>
            </w:tcMar>
            <w:vAlign w:val="center"/>
          </w:tcPr>
          <w:p w14:paraId="0D2E0AD1"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A61BCD5"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(0.224)</w:t>
            </w:r>
          </w:p>
        </w:tc>
        <w:tc>
          <w:tcPr>
            <w:tcW w:w="1728" w:type="dxa"/>
            <w:tcMar>
              <w:top w:w="100" w:type="nil"/>
              <w:right w:w="100" w:type="nil"/>
            </w:tcMar>
            <w:vAlign w:val="center"/>
          </w:tcPr>
          <w:p w14:paraId="5296071A"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(0.215)</w:t>
            </w:r>
          </w:p>
        </w:tc>
        <w:tc>
          <w:tcPr>
            <w:tcW w:w="1728" w:type="dxa"/>
            <w:tcMar>
              <w:top w:w="100" w:type="nil"/>
              <w:right w:w="100" w:type="nil"/>
            </w:tcMar>
            <w:vAlign w:val="center"/>
          </w:tcPr>
          <w:p w14:paraId="609B5479"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(0.165)</w:t>
            </w:r>
          </w:p>
        </w:tc>
        <w:tc>
          <w:tcPr>
            <w:tcW w:w="1728" w:type="dxa"/>
            <w:tcMar>
              <w:top w:w="100" w:type="nil"/>
              <w:right w:w="100" w:type="nil"/>
            </w:tcMar>
            <w:vAlign w:val="center"/>
          </w:tcPr>
          <w:p w14:paraId="4204929A"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(0.177)</w:t>
            </w:r>
          </w:p>
        </w:tc>
      </w:tr>
      <w:tr w:rsidR="009B537D" w:rsidRPr="00063075" w14:paraId="5569791E" w14:textId="77777777" w:rsidTr="00270E36">
        <w:tc>
          <w:tcPr>
            <w:tcW w:w="1836" w:type="dxa"/>
            <w:tcMar>
              <w:top w:w="100" w:type="nil"/>
              <w:right w:w="100" w:type="nil"/>
            </w:tcMar>
            <w:vAlign w:val="center"/>
          </w:tcPr>
          <w:p w14:paraId="71F45299" w14:textId="77777777" w:rsidR="009B537D" w:rsidRPr="00063075" w:rsidRDefault="009B537D" w:rsidP="00270E36">
            <w:pPr>
              <w:autoSpaceDE w:val="0"/>
              <w:autoSpaceDN w:val="0"/>
              <w:adjustRightInd w:val="0"/>
              <w:rPr>
                <w:rFonts w:ascii="Times New Roman" w:hAnsi="Times New Roman"/>
                <w:b/>
                <w:bCs/>
                <w:i/>
                <w:iCs/>
                <w:sz w:val="16"/>
                <w:szCs w:val="16"/>
              </w:rPr>
            </w:pPr>
          </w:p>
        </w:tc>
        <w:tc>
          <w:tcPr>
            <w:tcW w:w="1728" w:type="dxa"/>
            <w:tcMar>
              <w:top w:w="100" w:type="nil"/>
              <w:right w:w="100" w:type="nil"/>
            </w:tcMar>
            <w:vAlign w:val="center"/>
          </w:tcPr>
          <w:p w14:paraId="4511BD7B"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549EE1F0"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E4E8E40"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56B413D3"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12E27061" w14:textId="77777777" w:rsidTr="00270E36">
        <w:tc>
          <w:tcPr>
            <w:tcW w:w="1836" w:type="dxa"/>
            <w:tcMar>
              <w:top w:w="100" w:type="nil"/>
              <w:right w:w="100" w:type="nil"/>
            </w:tcMar>
            <w:vAlign w:val="center"/>
          </w:tcPr>
          <w:p w14:paraId="4A584A37" w14:textId="77777777" w:rsidR="009B537D" w:rsidRPr="00063075" w:rsidRDefault="009B537D" w:rsidP="00270E36">
            <w:pPr>
              <w:autoSpaceDE w:val="0"/>
              <w:autoSpaceDN w:val="0"/>
              <w:adjustRightInd w:val="0"/>
              <w:rPr>
                <w:rFonts w:ascii="Times New Roman" w:hAnsi="Times New Roman"/>
                <w:b/>
                <w:bCs/>
                <w:i/>
                <w:iCs/>
                <w:sz w:val="16"/>
                <w:szCs w:val="16"/>
              </w:rPr>
            </w:pPr>
            <w:r w:rsidRPr="00063075">
              <w:rPr>
                <w:rFonts w:ascii="Times New Roman" w:hAnsi="Times New Roman"/>
                <w:b/>
                <w:bCs/>
                <w:i/>
                <w:iCs/>
                <w:sz w:val="16"/>
                <w:szCs w:val="16"/>
              </w:rPr>
              <w:t>Judge Demos</w:t>
            </w:r>
          </w:p>
        </w:tc>
        <w:tc>
          <w:tcPr>
            <w:tcW w:w="1728" w:type="dxa"/>
            <w:tcMar>
              <w:top w:w="100" w:type="nil"/>
              <w:right w:w="100" w:type="nil"/>
            </w:tcMar>
            <w:vAlign w:val="center"/>
          </w:tcPr>
          <w:p w14:paraId="38240369"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58A3AE68"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1A66AEC4"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04B46A7"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5E49DBA9" w14:textId="77777777" w:rsidTr="00270E36">
        <w:tc>
          <w:tcPr>
            <w:tcW w:w="1836" w:type="dxa"/>
            <w:tcMar>
              <w:top w:w="100" w:type="nil"/>
              <w:right w:w="100" w:type="nil"/>
            </w:tcMar>
            <w:vAlign w:val="center"/>
          </w:tcPr>
          <w:p w14:paraId="13FDE885"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Male</w:t>
            </w:r>
          </w:p>
        </w:tc>
        <w:tc>
          <w:tcPr>
            <w:tcW w:w="1728" w:type="dxa"/>
            <w:tcMar>
              <w:top w:w="100" w:type="nil"/>
              <w:right w:w="100" w:type="nil"/>
            </w:tcMar>
            <w:vAlign w:val="center"/>
          </w:tcPr>
          <w:p w14:paraId="0ECE0166"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-0.0304</w:t>
            </w:r>
          </w:p>
        </w:tc>
        <w:tc>
          <w:tcPr>
            <w:tcW w:w="1728" w:type="dxa"/>
            <w:tcMar>
              <w:top w:w="100" w:type="nil"/>
              <w:right w:w="100" w:type="nil"/>
            </w:tcMar>
            <w:vAlign w:val="center"/>
          </w:tcPr>
          <w:p w14:paraId="101859AF"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0.113</w:t>
            </w:r>
          </w:p>
        </w:tc>
        <w:tc>
          <w:tcPr>
            <w:tcW w:w="1728" w:type="dxa"/>
            <w:tcMar>
              <w:top w:w="100" w:type="nil"/>
              <w:right w:w="100" w:type="nil"/>
            </w:tcMar>
            <w:vAlign w:val="center"/>
          </w:tcPr>
          <w:p w14:paraId="113547D3"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-0.120</w:t>
            </w:r>
          </w:p>
        </w:tc>
        <w:tc>
          <w:tcPr>
            <w:tcW w:w="1728" w:type="dxa"/>
            <w:tcMar>
              <w:top w:w="100" w:type="nil"/>
              <w:right w:w="100" w:type="nil"/>
            </w:tcMar>
            <w:vAlign w:val="center"/>
          </w:tcPr>
          <w:p w14:paraId="44111470"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-0.107</w:t>
            </w:r>
          </w:p>
        </w:tc>
      </w:tr>
      <w:tr w:rsidR="009B537D" w:rsidRPr="00063075" w14:paraId="0DBA6509" w14:textId="77777777" w:rsidTr="00270E36">
        <w:tc>
          <w:tcPr>
            <w:tcW w:w="1836" w:type="dxa"/>
            <w:tcMar>
              <w:top w:w="100" w:type="nil"/>
              <w:right w:w="100" w:type="nil"/>
            </w:tcMar>
            <w:vAlign w:val="center"/>
          </w:tcPr>
          <w:p w14:paraId="527CCD77"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18E33DBA"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(0.173)</w:t>
            </w:r>
          </w:p>
        </w:tc>
        <w:tc>
          <w:tcPr>
            <w:tcW w:w="1728" w:type="dxa"/>
            <w:tcMar>
              <w:top w:w="100" w:type="nil"/>
              <w:right w:w="100" w:type="nil"/>
            </w:tcMar>
            <w:vAlign w:val="center"/>
          </w:tcPr>
          <w:p w14:paraId="60C3C6D6"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(0.124)</w:t>
            </w:r>
          </w:p>
        </w:tc>
        <w:tc>
          <w:tcPr>
            <w:tcW w:w="1728" w:type="dxa"/>
            <w:tcMar>
              <w:top w:w="100" w:type="nil"/>
              <w:right w:w="100" w:type="nil"/>
            </w:tcMar>
            <w:vAlign w:val="center"/>
          </w:tcPr>
          <w:p w14:paraId="51AFD768"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(0.140)</w:t>
            </w:r>
          </w:p>
        </w:tc>
        <w:tc>
          <w:tcPr>
            <w:tcW w:w="1728" w:type="dxa"/>
            <w:tcMar>
              <w:top w:w="100" w:type="nil"/>
              <w:right w:w="100" w:type="nil"/>
            </w:tcMar>
            <w:vAlign w:val="center"/>
          </w:tcPr>
          <w:p w14:paraId="61E79E8D"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(0.104)</w:t>
            </w:r>
          </w:p>
        </w:tc>
      </w:tr>
      <w:tr w:rsidR="009B537D" w:rsidRPr="00063075" w14:paraId="1A7F4AFF" w14:textId="77777777" w:rsidTr="00270E36">
        <w:tc>
          <w:tcPr>
            <w:tcW w:w="1836" w:type="dxa"/>
            <w:tcMar>
              <w:top w:w="100" w:type="nil"/>
              <w:right w:w="100" w:type="nil"/>
            </w:tcMar>
            <w:vAlign w:val="center"/>
          </w:tcPr>
          <w:p w14:paraId="42C2CDA1"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46577EA4"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25A23BA9"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5BD79351"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83B6ADB"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6EF05A07" w14:textId="77777777" w:rsidTr="00270E36">
        <w:tc>
          <w:tcPr>
            <w:tcW w:w="1836" w:type="dxa"/>
            <w:tcMar>
              <w:top w:w="100" w:type="nil"/>
              <w:right w:w="100" w:type="nil"/>
            </w:tcMar>
            <w:vAlign w:val="center"/>
          </w:tcPr>
          <w:p w14:paraId="206CE0CB"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Minority</w:t>
            </w:r>
          </w:p>
        </w:tc>
        <w:tc>
          <w:tcPr>
            <w:tcW w:w="1728" w:type="dxa"/>
            <w:tcMar>
              <w:top w:w="100" w:type="nil"/>
              <w:right w:w="100" w:type="nil"/>
            </w:tcMar>
            <w:vAlign w:val="center"/>
          </w:tcPr>
          <w:p w14:paraId="0BF8A284"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-0.0666</w:t>
            </w:r>
          </w:p>
        </w:tc>
        <w:tc>
          <w:tcPr>
            <w:tcW w:w="1728" w:type="dxa"/>
            <w:tcMar>
              <w:top w:w="100" w:type="nil"/>
              <w:right w:w="100" w:type="nil"/>
            </w:tcMar>
            <w:vAlign w:val="center"/>
          </w:tcPr>
          <w:p w14:paraId="5C7F6277"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-0.00717</w:t>
            </w:r>
          </w:p>
        </w:tc>
        <w:tc>
          <w:tcPr>
            <w:tcW w:w="1728" w:type="dxa"/>
            <w:tcMar>
              <w:top w:w="100" w:type="nil"/>
              <w:right w:w="100" w:type="nil"/>
            </w:tcMar>
            <w:vAlign w:val="center"/>
          </w:tcPr>
          <w:p w14:paraId="1DF15822"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-0.110</w:t>
            </w:r>
          </w:p>
        </w:tc>
        <w:tc>
          <w:tcPr>
            <w:tcW w:w="1728" w:type="dxa"/>
            <w:tcMar>
              <w:top w:w="100" w:type="nil"/>
              <w:right w:w="100" w:type="nil"/>
            </w:tcMar>
            <w:vAlign w:val="center"/>
          </w:tcPr>
          <w:p w14:paraId="4ECECF37"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-0.119</w:t>
            </w:r>
          </w:p>
        </w:tc>
      </w:tr>
      <w:tr w:rsidR="009B537D" w:rsidRPr="00063075" w14:paraId="15442D7B" w14:textId="77777777" w:rsidTr="00270E36">
        <w:tc>
          <w:tcPr>
            <w:tcW w:w="1836" w:type="dxa"/>
            <w:tcMar>
              <w:top w:w="100" w:type="nil"/>
              <w:right w:w="100" w:type="nil"/>
            </w:tcMar>
            <w:vAlign w:val="center"/>
          </w:tcPr>
          <w:p w14:paraId="15BAB1B6"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6404DA3"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(0.192)</w:t>
            </w:r>
          </w:p>
        </w:tc>
        <w:tc>
          <w:tcPr>
            <w:tcW w:w="1728" w:type="dxa"/>
            <w:tcMar>
              <w:top w:w="100" w:type="nil"/>
              <w:right w:w="100" w:type="nil"/>
            </w:tcMar>
            <w:vAlign w:val="center"/>
          </w:tcPr>
          <w:p w14:paraId="5BEF3ABC"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(0.147)</w:t>
            </w:r>
          </w:p>
        </w:tc>
        <w:tc>
          <w:tcPr>
            <w:tcW w:w="1728" w:type="dxa"/>
            <w:tcMar>
              <w:top w:w="100" w:type="nil"/>
              <w:right w:w="100" w:type="nil"/>
            </w:tcMar>
            <w:vAlign w:val="center"/>
          </w:tcPr>
          <w:p w14:paraId="03AD13F2"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(0.163)</w:t>
            </w:r>
          </w:p>
        </w:tc>
        <w:tc>
          <w:tcPr>
            <w:tcW w:w="1728" w:type="dxa"/>
            <w:tcMar>
              <w:top w:w="100" w:type="nil"/>
              <w:right w:w="100" w:type="nil"/>
            </w:tcMar>
            <w:vAlign w:val="center"/>
          </w:tcPr>
          <w:p w14:paraId="21E2CFA2"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(0.120)</w:t>
            </w:r>
          </w:p>
        </w:tc>
      </w:tr>
      <w:tr w:rsidR="009B537D" w:rsidRPr="00063075" w14:paraId="1A6985F7" w14:textId="77777777" w:rsidTr="00270E36">
        <w:tc>
          <w:tcPr>
            <w:tcW w:w="1836" w:type="dxa"/>
            <w:tcMar>
              <w:top w:w="100" w:type="nil"/>
              <w:right w:w="100" w:type="nil"/>
            </w:tcMar>
            <w:vAlign w:val="center"/>
          </w:tcPr>
          <w:p w14:paraId="739180ED"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00BFB9C"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56C05EB8"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2CFEAAE3"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40EE8B79"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72F59D2E" w14:textId="77777777" w:rsidTr="00270E36">
        <w:tc>
          <w:tcPr>
            <w:tcW w:w="1836" w:type="dxa"/>
            <w:tcMar>
              <w:top w:w="100" w:type="nil"/>
              <w:right w:w="100" w:type="nil"/>
            </w:tcMar>
            <w:vAlign w:val="center"/>
          </w:tcPr>
          <w:p w14:paraId="5D450283"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Firm Partner</w:t>
            </w:r>
          </w:p>
        </w:tc>
        <w:tc>
          <w:tcPr>
            <w:tcW w:w="1728" w:type="dxa"/>
            <w:tcMar>
              <w:top w:w="100" w:type="nil"/>
              <w:right w:w="100" w:type="nil"/>
            </w:tcMar>
            <w:vAlign w:val="center"/>
          </w:tcPr>
          <w:p w14:paraId="3B7E34C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0.0395</w:t>
            </w:r>
          </w:p>
        </w:tc>
        <w:tc>
          <w:tcPr>
            <w:tcW w:w="1728" w:type="dxa"/>
            <w:tcMar>
              <w:top w:w="100" w:type="nil"/>
              <w:right w:w="100" w:type="nil"/>
            </w:tcMar>
            <w:vAlign w:val="center"/>
          </w:tcPr>
          <w:p w14:paraId="73BAAFCB"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0.206</w:t>
            </w:r>
          </w:p>
        </w:tc>
        <w:tc>
          <w:tcPr>
            <w:tcW w:w="1728" w:type="dxa"/>
            <w:tcMar>
              <w:top w:w="100" w:type="nil"/>
              <w:right w:w="100" w:type="nil"/>
            </w:tcMar>
            <w:vAlign w:val="center"/>
          </w:tcPr>
          <w:p w14:paraId="5BF6FD39"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0.0785</w:t>
            </w:r>
          </w:p>
        </w:tc>
        <w:tc>
          <w:tcPr>
            <w:tcW w:w="1728" w:type="dxa"/>
            <w:tcMar>
              <w:top w:w="100" w:type="nil"/>
              <w:right w:w="100" w:type="nil"/>
            </w:tcMar>
            <w:vAlign w:val="center"/>
          </w:tcPr>
          <w:p w14:paraId="2D5D64ED"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0.138</w:t>
            </w:r>
          </w:p>
        </w:tc>
      </w:tr>
      <w:tr w:rsidR="009B537D" w:rsidRPr="00063075" w14:paraId="11415545" w14:textId="77777777" w:rsidTr="00270E36">
        <w:tc>
          <w:tcPr>
            <w:tcW w:w="1836" w:type="dxa"/>
            <w:tcMar>
              <w:top w:w="100" w:type="nil"/>
              <w:right w:w="100" w:type="nil"/>
            </w:tcMar>
            <w:vAlign w:val="center"/>
          </w:tcPr>
          <w:p w14:paraId="539BD9AF"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1CFADEAD"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(0.269)</w:t>
            </w:r>
          </w:p>
        </w:tc>
        <w:tc>
          <w:tcPr>
            <w:tcW w:w="1728" w:type="dxa"/>
            <w:tcMar>
              <w:top w:w="100" w:type="nil"/>
              <w:right w:w="100" w:type="nil"/>
            </w:tcMar>
            <w:vAlign w:val="center"/>
          </w:tcPr>
          <w:p w14:paraId="5F3D4CFE"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(0.204)</w:t>
            </w:r>
          </w:p>
        </w:tc>
        <w:tc>
          <w:tcPr>
            <w:tcW w:w="1728" w:type="dxa"/>
            <w:tcMar>
              <w:top w:w="100" w:type="nil"/>
              <w:right w:w="100" w:type="nil"/>
            </w:tcMar>
            <w:vAlign w:val="center"/>
          </w:tcPr>
          <w:p w14:paraId="4DBF8450"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(0.218)</w:t>
            </w:r>
          </w:p>
        </w:tc>
        <w:tc>
          <w:tcPr>
            <w:tcW w:w="1728" w:type="dxa"/>
            <w:tcMar>
              <w:top w:w="100" w:type="nil"/>
              <w:right w:w="100" w:type="nil"/>
            </w:tcMar>
            <w:vAlign w:val="center"/>
          </w:tcPr>
          <w:p w14:paraId="4743DB50"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(0.163)</w:t>
            </w:r>
          </w:p>
        </w:tc>
      </w:tr>
      <w:tr w:rsidR="009B537D" w:rsidRPr="00063075" w14:paraId="47060984" w14:textId="77777777" w:rsidTr="00270E36">
        <w:tc>
          <w:tcPr>
            <w:tcW w:w="1836" w:type="dxa"/>
            <w:tcMar>
              <w:top w:w="100" w:type="nil"/>
              <w:right w:w="100" w:type="nil"/>
            </w:tcMar>
            <w:vAlign w:val="center"/>
          </w:tcPr>
          <w:p w14:paraId="1270FD4E"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13B24685"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9482419"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1F9DAD5F"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F10EAA0"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66BB618A" w14:textId="77777777" w:rsidTr="00270E36">
        <w:tc>
          <w:tcPr>
            <w:tcW w:w="1836" w:type="dxa"/>
            <w:tcMar>
              <w:top w:w="100" w:type="nil"/>
              <w:right w:w="100" w:type="nil"/>
            </w:tcMar>
            <w:vAlign w:val="center"/>
          </w:tcPr>
          <w:p w14:paraId="4DA7DD80"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Examiner</w:t>
            </w:r>
          </w:p>
        </w:tc>
        <w:tc>
          <w:tcPr>
            <w:tcW w:w="1728" w:type="dxa"/>
            <w:tcMar>
              <w:top w:w="100" w:type="nil"/>
              <w:right w:w="100" w:type="nil"/>
            </w:tcMar>
            <w:vAlign w:val="center"/>
          </w:tcPr>
          <w:p w14:paraId="3BE95B74"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0.457</w:t>
            </w:r>
            <w:r w:rsidRPr="00063075">
              <w:rPr>
                <w:rFonts w:ascii="Times New Roman" w:hAnsi="Times New Roman"/>
                <w:sz w:val="16"/>
                <w:szCs w:val="16"/>
                <w:vertAlign w:val="superscript"/>
              </w:rPr>
              <w:t>*</w:t>
            </w:r>
          </w:p>
        </w:tc>
        <w:tc>
          <w:tcPr>
            <w:tcW w:w="1728" w:type="dxa"/>
            <w:tcMar>
              <w:top w:w="100" w:type="nil"/>
              <w:right w:w="100" w:type="nil"/>
            </w:tcMar>
            <w:vAlign w:val="center"/>
          </w:tcPr>
          <w:p w14:paraId="026656D3"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0.504</w:t>
            </w:r>
            <w:r w:rsidRPr="00063075">
              <w:rPr>
                <w:rFonts w:ascii="Times New Roman" w:hAnsi="Times New Roman"/>
                <w:sz w:val="16"/>
                <w:szCs w:val="16"/>
                <w:vertAlign w:val="superscript"/>
              </w:rPr>
              <w:t>***</w:t>
            </w:r>
          </w:p>
        </w:tc>
        <w:tc>
          <w:tcPr>
            <w:tcW w:w="1728" w:type="dxa"/>
            <w:tcMar>
              <w:top w:w="100" w:type="nil"/>
              <w:right w:w="100" w:type="nil"/>
            </w:tcMar>
            <w:vAlign w:val="center"/>
          </w:tcPr>
          <w:p w14:paraId="2B1D7C6C"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0.392</w:t>
            </w:r>
            <w:r w:rsidRPr="00063075">
              <w:rPr>
                <w:rFonts w:ascii="Times New Roman" w:hAnsi="Times New Roman"/>
                <w:sz w:val="16"/>
                <w:szCs w:val="16"/>
                <w:vertAlign w:val="superscript"/>
              </w:rPr>
              <w:t>*</w:t>
            </w:r>
          </w:p>
        </w:tc>
        <w:tc>
          <w:tcPr>
            <w:tcW w:w="1728" w:type="dxa"/>
            <w:tcMar>
              <w:top w:w="100" w:type="nil"/>
              <w:right w:w="100" w:type="nil"/>
            </w:tcMar>
            <w:vAlign w:val="center"/>
          </w:tcPr>
          <w:p w14:paraId="253B15AD"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0.457</w:t>
            </w:r>
            <w:r w:rsidRPr="00063075">
              <w:rPr>
                <w:rFonts w:ascii="Times New Roman" w:hAnsi="Times New Roman"/>
                <w:sz w:val="16"/>
                <w:szCs w:val="16"/>
                <w:vertAlign w:val="superscript"/>
              </w:rPr>
              <w:t>***</w:t>
            </w:r>
          </w:p>
        </w:tc>
      </w:tr>
      <w:tr w:rsidR="009B537D" w:rsidRPr="00063075" w14:paraId="2A299BC5" w14:textId="77777777" w:rsidTr="00270E36">
        <w:tc>
          <w:tcPr>
            <w:tcW w:w="1836" w:type="dxa"/>
            <w:tcMar>
              <w:top w:w="100" w:type="nil"/>
              <w:right w:w="100" w:type="nil"/>
            </w:tcMar>
            <w:vAlign w:val="center"/>
          </w:tcPr>
          <w:p w14:paraId="3D99E737"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5447FB07"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(0.200)</w:t>
            </w:r>
          </w:p>
        </w:tc>
        <w:tc>
          <w:tcPr>
            <w:tcW w:w="1728" w:type="dxa"/>
            <w:tcMar>
              <w:top w:w="100" w:type="nil"/>
              <w:right w:w="100" w:type="nil"/>
            </w:tcMar>
            <w:vAlign w:val="center"/>
          </w:tcPr>
          <w:p w14:paraId="68761169"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(0.146)</w:t>
            </w:r>
          </w:p>
        </w:tc>
        <w:tc>
          <w:tcPr>
            <w:tcW w:w="1728" w:type="dxa"/>
            <w:tcMar>
              <w:top w:w="100" w:type="nil"/>
              <w:right w:w="100" w:type="nil"/>
            </w:tcMar>
            <w:vAlign w:val="center"/>
          </w:tcPr>
          <w:p w14:paraId="1486C92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(0.167)</w:t>
            </w:r>
          </w:p>
        </w:tc>
        <w:tc>
          <w:tcPr>
            <w:tcW w:w="1728" w:type="dxa"/>
            <w:tcMar>
              <w:top w:w="100" w:type="nil"/>
              <w:right w:w="100" w:type="nil"/>
            </w:tcMar>
            <w:vAlign w:val="center"/>
          </w:tcPr>
          <w:p w14:paraId="11DEC49E"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(0.122)</w:t>
            </w:r>
          </w:p>
        </w:tc>
      </w:tr>
      <w:tr w:rsidR="009B537D" w:rsidRPr="00063075" w14:paraId="26ADA055" w14:textId="77777777" w:rsidTr="00270E36">
        <w:tc>
          <w:tcPr>
            <w:tcW w:w="1836" w:type="dxa"/>
            <w:tcMar>
              <w:top w:w="100" w:type="nil"/>
              <w:right w:w="100" w:type="nil"/>
            </w:tcMar>
            <w:vAlign w:val="center"/>
          </w:tcPr>
          <w:p w14:paraId="19499B27"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7D1DEB1"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0958F6A2"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4FA5F85"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042F53C7"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0159AE0D" w14:textId="77777777" w:rsidTr="00270E36">
        <w:tc>
          <w:tcPr>
            <w:tcW w:w="1836" w:type="dxa"/>
            <w:tcMar>
              <w:top w:w="100" w:type="nil"/>
              <w:right w:w="100" w:type="nil"/>
            </w:tcMar>
            <w:vAlign w:val="center"/>
          </w:tcPr>
          <w:p w14:paraId="6DECA8B4"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PTO Lawyer</w:t>
            </w:r>
          </w:p>
        </w:tc>
        <w:tc>
          <w:tcPr>
            <w:tcW w:w="1728" w:type="dxa"/>
            <w:tcMar>
              <w:top w:w="100" w:type="nil"/>
              <w:right w:w="100" w:type="nil"/>
            </w:tcMar>
            <w:vAlign w:val="center"/>
          </w:tcPr>
          <w:p w14:paraId="2B10FAB3"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-0.0504</w:t>
            </w:r>
          </w:p>
        </w:tc>
        <w:tc>
          <w:tcPr>
            <w:tcW w:w="1728" w:type="dxa"/>
            <w:tcMar>
              <w:top w:w="100" w:type="nil"/>
              <w:right w:w="100" w:type="nil"/>
            </w:tcMar>
            <w:vAlign w:val="center"/>
          </w:tcPr>
          <w:p w14:paraId="456E81DD"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-0.0437</w:t>
            </w:r>
          </w:p>
        </w:tc>
        <w:tc>
          <w:tcPr>
            <w:tcW w:w="1728" w:type="dxa"/>
            <w:tcMar>
              <w:top w:w="100" w:type="nil"/>
              <w:right w:w="100" w:type="nil"/>
            </w:tcMar>
            <w:vAlign w:val="center"/>
          </w:tcPr>
          <w:p w14:paraId="3B78D726"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0.0844</w:t>
            </w:r>
          </w:p>
        </w:tc>
        <w:tc>
          <w:tcPr>
            <w:tcW w:w="1728" w:type="dxa"/>
            <w:tcMar>
              <w:top w:w="100" w:type="nil"/>
              <w:right w:w="100" w:type="nil"/>
            </w:tcMar>
            <w:vAlign w:val="center"/>
          </w:tcPr>
          <w:p w14:paraId="25E29ACF"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0.116</w:t>
            </w:r>
          </w:p>
        </w:tc>
      </w:tr>
      <w:tr w:rsidR="009B537D" w:rsidRPr="00063075" w14:paraId="4B63F91D" w14:textId="77777777" w:rsidTr="00270E36">
        <w:tc>
          <w:tcPr>
            <w:tcW w:w="1836" w:type="dxa"/>
            <w:tcMar>
              <w:top w:w="100" w:type="nil"/>
              <w:right w:w="100" w:type="nil"/>
            </w:tcMar>
            <w:vAlign w:val="center"/>
          </w:tcPr>
          <w:p w14:paraId="6876DAB3"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2B0E4CA"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(0.279)</w:t>
            </w:r>
          </w:p>
        </w:tc>
        <w:tc>
          <w:tcPr>
            <w:tcW w:w="1728" w:type="dxa"/>
            <w:tcMar>
              <w:top w:w="100" w:type="nil"/>
              <w:right w:w="100" w:type="nil"/>
            </w:tcMar>
            <w:vAlign w:val="center"/>
          </w:tcPr>
          <w:p w14:paraId="4745DD9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(0.203)</w:t>
            </w:r>
          </w:p>
        </w:tc>
        <w:tc>
          <w:tcPr>
            <w:tcW w:w="1728" w:type="dxa"/>
            <w:tcMar>
              <w:top w:w="100" w:type="nil"/>
              <w:right w:w="100" w:type="nil"/>
            </w:tcMar>
            <w:vAlign w:val="center"/>
          </w:tcPr>
          <w:p w14:paraId="5E51E8C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(0.220)</w:t>
            </w:r>
          </w:p>
        </w:tc>
        <w:tc>
          <w:tcPr>
            <w:tcW w:w="1728" w:type="dxa"/>
            <w:tcMar>
              <w:top w:w="100" w:type="nil"/>
              <w:right w:w="100" w:type="nil"/>
            </w:tcMar>
            <w:vAlign w:val="center"/>
          </w:tcPr>
          <w:p w14:paraId="075B0F3B"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(0.163)</w:t>
            </w:r>
          </w:p>
        </w:tc>
      </w:tr>
      <w:tr w:rsidR="009B537D" w:rsidRPr="00063075" w14:paraId="17C11A1E" w14:textId="77777777" w:rsidTr="00270E36">
        <w:tc>
          <w:tcPr>
            <w:tcW w:w="1836" w:type="dxa"/>
            <w:tcMar>
              <w:top w:w="100" w:type="nil"/>
              <w:right w:w="100" w:type="nil"/>
            </w:tcMar>
            <w:vAlign w:val="center"/>
          </w:tcPr>
          <w:p w14:paraId="5558AD98"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460874D0"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4D762C2C"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4989814E"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B3267B3"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1BD74190" w14:textId="77777777" w:rsidTr="00270E36">
        <w:tc>
          <w:tcPr>
            <w:tcW w:w="1836" w:type="dxa"/>
            <w:tcMar>
              <w:top w:w="100" w:type="nil"/>
              <w:right w:w="100" w:type="nil"/>
            </w:tcMar>
            <w:vAlign w:val="center"/>
          </w:tcPr>
          <w:p w14:paraId="6613AD70"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Scientist</w:t>
            </w:r>
          </w:p>
        </w:tc>
        <w:tc>
          <w:tcPr>
            <w:tcW w:w="1728" w:type="dxa"/>
            <w:tcMar>
              <w:top w:w="100" w:type="nil"/>
              <w:right w:w="100" w:type="nil"/>
            </w:tcMar>
            <w:vAlign w:val="center"/>
          </w:tcPr>
          <w:p w14:paraId="1BF198E7"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0.161</w:t>
            </w:r>
          </w:p>
        </w:tc>
        <w:tc>
          <w:tcPr>
            <w:tcW w:w="1728" w:type="dxa"/>
            <w:tcMar>
              <w:top w:w="100" w:type="nil"/>
              <w:right w:w="100" w:type="nil"/>
            </w:tcMar>
            <w:vAlign w:val="center"/>
          </w:tcPr>
          <w:p w14:paraId="1E838905"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0.0764</w:t>
            </w:r>
          </w:p>
        </w:tc>
        <w:tc>
          <w:tcPr>
            <w:tcW w:w="1728" w:type="dxa"/>
            <w:tcMar>
              <w:top w:w="100" w:type="nil"/>
              <w:right w:w="100" w:type="nil"/>
            </w:tcMar>
            <w:vAlign w:val="center"/>
          </w:tcPr>
          <w:p w14:paraId="372C5A03"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0.0618</w:t>
            </w:r>
          </w:p>
        </w:tc>
        <w:tc>
          <w:tcPr>
            <w:tcW w:w="1728" w:type="dxa"/>
            <w:tcMar>
              <w:top w:w="100" w:type="nil"/>
              <w:right w:w="100" w:type="nil"/>
            </w:tcMar>
            <w:vAlign w:val="center"/>
          </w:tcPr>
          <w:p w14:paraId="3B85ECB9"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0.0832</w:t>
            </w:r>
          </w:p>
        </w:tc>
      </w:tr>
      <w:tr w:rsidR="009B537D" w:rsidRPr="00063075" w14:paraId="6ABB447C" w14:textId="77777777" w:rsidTr="00270E36">
        <w:tc>
          <w:tcPr>
            <w:tcW w:w="1836" w:type="dxa"/>
            <w:tcMar>
              <w:top w:w="100" w:type="nil"/>
              <w:right w:w="100" w:type="nil"/>
            </w:tcMar>
            <w:vAlign w:val="center"/>
          </w:tcPr>
          <w:p w14:paraId="2BFAE850"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53AF04FA"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(0.152)</w:t>
            </w:r>
          </w:p>
        </w:tc>
        <w:tc>
          <w:tcPr>
            <w:tcW w:w="1728" w:type="dxa"/>
            <w:tcMar>
              <w:top w:w="100" w:type="nil"/>
              <w:right w:w="100" w:type="nil"/>
            </w:tcMar>
            <w:vAlign w:val="center"/>
          </w:tcPr>
          <w:p w14:paraId="7C5EC255"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(0.118)</w:t>
            </w:r>
          </w:p>
        </w:tc>
        <w:tc>
          <w:tcPr>
            <w:tcW w:w="1728" w:type="dxa"/>
            <w:tcMar>
              <w:top w:w="100" w:type="nil"/>
              <w:right w:w="100" w:type="nil"/>
            </w:tcMar>
            <w:vAlign w:val="center"/>
          </w:tcPr>
          <w:p w14:paraId="5A523D13"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(0.122)</w:t>
            </w:r>
          </w:p>
        </w:tc>
        <w:tc>
          <w:tcPr>
            <w:tcW w:w="1728" w:type="dxa"/>
            <w:tcMar>
              <w:top w:w="100" w:type="nil"/>
              <w:right w:w="100" w:type="nil"/>
            </w:tcMar>
            <w:vAlign w:val="center"/>
          </w:tcPr>
          <w:p w14:paraId="1FFDE808"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(0.0954)</w:t>
            </w:r>
          </w:p>
        </w:tc>
      </w:tr>
      <w:tr w:rsidR="009B537D" w:rsidRPr="00063075" w14:paraId="21E40746" w14:textId="77777777" w:rsidTr="00270E36">
        <w:tc>
          <w:tcPr>
            <w:tcW w:w="1836" w:type="dxa"/>
            <w:tcMar>
              <w:top w:w="100" w:type="nil"/>
              <w:right w:w="100" w:type="nil"/>
            </w:tcMar>
            <w:vAlign w:val="center"/>
          </w:tcPr>
          <w:p w14:paraId="2D3F3120"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C4C5790"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47C81F55"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366C8A2"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92BD700"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480E8A25" w14:textId="77777777" w:rsidTr="00270E36">
        <w:tc>
          <w:tcPr>
            <w:tcW w:w="1836" w:type="dxa"/>
            <w:tcMar>
              <w:top w:w="100" w:type="nil"/>
              <w:right w:w="100" w:type="nil"/>
            </w:tcMar>
            <w:vAlign w:val="center"/>
          </w:tcPr>
          <w:p w14:paraId="43F7CE0A"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In house</w:t>
            </w:r>
          </w:p>
        </w:tc>
        <w:tc>
          <w:tcPr>
            <w:tcW w:w="1728" w:type="dxa"/>
            <w:tcMar>
              <w:top w:w="100" w:type="nil"/>
              <w:right w:w="100" w:type="nil"/>
            </w:tcMar>
            <w:vAlign w:val="center"/>
          </w:tcPr>
          <w:p w14:paraId="14A825A9"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0.450</w:t>
            </w:r>
          </w:p>
        </w:tc>
        <w:tc>
          <w:tcPr>
            <w:tcW w:w="1728" w:type="dxa"/>
            <w:tcMar>
              <w:top w:w="100" w:type="nil"/>
              <w:right w:w="100" w:type="nil"/>
            </w:tcMar>
            <w:vAlign w:val="center"/>
          </w:tcPr>
          <w:p w14:paraId="11B97793"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0.184</w:t>
            </w:r>
          </w:p>
        </w:tc>
        <w:tc>
          <w:tcPr>
            <w:tcW w:w="1728" w:type="dxa"/>
            <w:tcMar>
              <w:top w:w="100" w:type="nil"/>
              <w:right w:w="100" w:type="nil"/>
            </w:tcMar>
            <w:vAlign w:val="center"/>
          </w:tcPr>
          <w:p w14:paraId="132CF834"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0.0305</w:t>
            </w:r>
          </w:p>
        </w:tc>
        <w:tc>
          <w:tcPr>
            <w:tcW w:w="1728" w:type="dxa"/>
            <w:tcMar>
              <w:top w:w="100" w:type="nil"/>
              <w:right w:w="100" w:type="nil"/>
            </w:tcMar>
            <w:vAlign w:val="center"/>
          </w:tcPr>
          <w:p w14:paraId="3F3AA667"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-0.148</w:t>
            </w:r>
          </w:p>
        </w:tc>
      </w:tr>
      <w:tr w:rsidR="009B537D" w:rsidRPr="00063075" w14:paraId="0F1F1CF6" w14:textId="77777777" w:rsidTr="00270E36">
        <w:tc>
          <w:tcPr>
            <w:tcW w:w="1836" w:type="dxa"/>
            <w:tcMar>
              <w:top w:w="100" w:type="nil"/>
              <w:right w:w="100" w:type="nil"/>
            </w:tcMar>
            <w:vAlign w:val="center"/>
          </w:tcPr>
          <w:p w14:paraId="70D68747"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110A6D3"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(0.247)</w:t>
            </w:r>
          </w:p>
        </w:tc>
        <w:tc>
          <w:tcPr>
            <w:tcW w:w="1728" w:type="dxa"/>
            <w:tcMar>
              <w:top w:w="100" w:type="nil"/>
              <w:right w:w="100" w:type="nil"/>
            </w:tcMar>
            <w:vAlign w:val="center"/>
          </w:tcPr>
          <w:p w14:paraId="26DCEC8F"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(0.207)</w:t>
            </w:r>
          </w:p>
        </w:tc>
        <w:tc>
          <w:tcPr>
            <w:tcW w:w="1728" w:type="dxa"/>
            <w:tcMar>
              <w:top w:w="100" w:type="nil"/>
              <w:right w:w="100" w:type="nil"/>
            </w:tcMar>
            <w:vAlign w:val="center"/>
          </w:tcPr>
          <w:p w14:paraId="046BDFD4"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(0.168)</w:t>
            </w:r>
          </w:p>
        </w:tc>
        <w:tc>
          <w:tcPr>
            <w:tcW w:w="1728" w:type="dxa"/>
            <w:tcMar>
              <w:top w:w="100" w:type="nil"/>
              <w:right w:w="100" w:type="nil"/>
            </w:tcMar>
            <w:vAlign w:val="center"/>
          </w:tcPr>
          <w:p w14:paraId="39766C22"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(0.161)</w:t>
            </w:r>
          </w:p>
        </w:tc>
      </w:tr>
      <w:tr w:rsidR="009B537D" w:rsidRPr="00063075" w14:paraId="7236B781" w14:textId="77777777" w:rsidTr="00270E36">
        <w:tc>
          <w:tcPr>
            <w:tcW w:w="1836" w:type="dxa"/>
            <w:tcMar>
              <w:top w:w="100" w:type="nil"/>
              <w:right w:w="100" w:type="nil"/>
            </w:tcMar>
            <w:vAlign w:val="center"/>
          </w:tcPr>
          <w:p w14:paraId="37A6BD38"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12B5DB7F"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5B25BEB"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067D3CD6"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0D9397E4"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3A902BE5" w14:textId="77777777" w:rsidTr="00270E36">
        <w:tc>
          <w:tcPr>
            <w:tcW w:w="1836" w:type="dxa"/>
            <w:tcMar>
              <w:top w:w="100" w:type="nil"/>
              <w:right w:w="100" w:type="nil"/>
            </w:tcMar>
            <w:vAlign w:val="center"/>
          </w:tcPr>
          <w:p w14:paraId="382ABA1D"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Fed. Cir. Clerk</w:t>
            </w:r>
          </w:p>
        </w:tc>
        <w:tc>
          <w:tcPr>
            <w:tcW w:w="1728" w:type="dxa"/>
            <w:tcMar>
              <w:top w:w="100" w:type="nil"/>
              <w:right w:w="100" w:type="nil"/>
            </w:tcMar>
            <w:vAlign w:val="center"/>
          </w:tcPr>
          <w:p w14:paraId="5A32B3E4"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0.208</w:t>
            </w:r>
          </w:p>
        </w:tc>
        <w:tc>
          <w:tcPr>
            <w:tcW w:w="1728" w:type="dxa"/>
            <w:tcMar>
              <w:top w:w="100" w:type="nil"/>
              <w:right w:w="100" w:type="nil"/>
            </w:tcMar>
            <w:vAlign w:val="center"/>
          </w:tcPr>
          <w:p w14:paraId="662C04FF"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0.236</w:t>
            </w:r>
          </w:p>
        </w:tc>
        <w:tc>
          <w:tcPr>
            <w:tcW w:w="1728" w:type="dxa"/>
            <w:tcMar>
              <w:top w:w="100" w:type="nil"/>
              <w:right w:w="100" w:type="nil"/>
            </w:tcMar>
            <w:vAlign w:val="center"/>
          </w:tcPr>
          <w:p w14:paraId="41C89C4E"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0.117</w:t>
            </w:r>
          </w:p>
        </w:tc>
        <w:tc>
          <w:tcPr>
            <w:tcW w:w="1728" w:type="dxa"/>
            <w:tcMar>
              <w:top w:w="100" w:type="nil"/>
              <w:right w:w="100" w:type="nil"/>
            </w:tcMar>
            <w:vAlign w:val="center"/>
          </w:tcPr>
          <w:p w14:paraId="482124DE"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0.110</w:t>
            </w:r>
          </w:p>
        </w:tc>
      </w:tr>
      <w:tr w:rsidR="009B537D" w:rsidRPr="00063075" w14:paraId="14BF58CF" w14:textId="77777777" w:rsidTr="00270E36">
        <w:tc>
          <w:tcPr>
            <w:tcW w:w="1836" w:type="dxa"/>
            <w:tcMar>
              <w:top w:w="100" w:type="nil"/>
              <w:right w:w="100" w:type="nil"/>
            </w:tcMar>
            <w:vAlign w:val="center"/>
          </w:tcPr>
          <w:p w14:paraId="47F0C276"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A6113A3"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(0.221)</w:t>
            </w:r>
          </w:p>
        </w:tc>
        <w:tc>
          <w:tcPr>
            <w:tcW w:w="1728" w:type="dxa"/>
            <w:tcMar>
              <w:top w:w="100" w:type="nil"/>
              <w:right w:w="100" w:type="nil"/>
            </w:tcMar>
            <w:vAlign w:val="center"/>
          </w:tcPr>
          <w:p w14:paraId="793B4E32"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(0.163)</w:t>
            </w:r>
          </w:p>
        </w:tc>
        <w:tc>
          <w:tcPr>
            <w:tcW w:w="1728" w:type="dxa"/>
            <w:tcMar>
              <w:top w:w="100" w:type="nil"/>
              <w:right w:w="100" w:type="nil"/>
            </w:tcMar>
            <w:vAlign w:val="center"/>
          </w:tcPr>
          <w:p w14:paraId="7333C946"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(0.177)</w:t>
            </w:r>
          </w:p>
        </w:tc>
        <w:tc>
          <w:tcPr>
            <w:tcW w:w="1728" w:type="dxa"/>
            <w:tcMar>
              <w:top w:w="100" w:type="nil"/>
              <w:right w:w="100" w:type="nil"/>
            </w:tcMar>
            <w:vAlign w:val="center"/>
          </w:tcPr>
          <w:p w14:paraId="24BD7F0A"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(0.135)</w:t>
            </w:r>
          </w:p>
        </w:tc>
      </w:tr>
      <w:tr w:rsidR="009B537D" w:rsidRPr="00063075" w14:paraId="03F3167D" w14:textId="77777777" w:rsidTr="00270E36">
        <w:tc>
          <w:tcPr>
            <w:tcW w:w="1836" w:type="dxa"/>
            <w:tcMar>
              <w:top w:w="100" w:type="nil"/>
              <w:right w:w="100" w:type="nil"/>
            </w:tcMar>
            <w:vAlign w:val="center"/>
          </w:tcPr>
          <w:p w14:paraId="0BBEBD31" w14:textId="77777777" w:rsidR="009B537D" w:rsidRPr="00063075" w:rsidRDefault="009B537D" w:rsidP="00270E36">
            <w:pPr>
              <w:autoSpaceDE w:val="0"/>
              <w:autoSpaceDN w:val="0"/>
              <w:adjustRightInd w:val="0"/>
              <w:rPr>
                <w:rFonts w:ascii="Times New Roman" w:hAnsi="Times New Roman"/>
                <w:b/>
                <w:bCs/>
                <w:i/>
                <w:iCs/>
                <w:sz w:val="16"/>
                <w:szCs w:val="16"/>
              </w:rPr>
            </w:pPr>
          </w:p>
        </w:tc>
        <w:tc>
          <w:tcPr>
            <w:tcW w:w="1728" w:type="dxa"/>
            <w:tcMar>
              <w:top w:w="100" w:type="nil"/>
              <w:right w:w="100" w:type="nil"/>
            </w:tcMar>
            <w:vAlign w:val="center"/>
          </w:tcPr>
          <w:p w14:paraId="2F6CB8EC"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8FF1172"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C4D28D7"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724A5A2"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0F149C92" w14:textId="77777777" w:rsidTr="00270E36">
        <w:tc>
          <w:tcPr>
            <w:tcW w:w="1836" w:type="dxa"/>
            <w:tcMar>
              <w:top w:w="100" w:type="nil"/>
              <w:right w:w="100" w:type="nil"/>
            </w:tcMar>
            <w:vAlign w:val="center"/>
          </w:tcPr>
          <w:p w14:paraId="1FB27CB3" w14:textId="77777777" w:rsidR="009B537D" w:rsidRPr="00063075" w:rsidRDefault="009B537D" w:rsidP="00270E36">
            <w:pPr>
              <w:autoSpaceDE w:val="0"/>
              <w:autoSpaceDN w:val="0"/>
              <w:adjustRightInd w:val="0"/>
              <w:rPr>
                <w:rFonts w:ascii="Times New Roman" w:hAnsi="Times New Roman"/>
                <w:b/>
                <w:bCs/>
                <w:i/>
                <w:iCs/>
                <w:sz w:val="16"/>
                <w:szCs w:val="16"/>
              </w:rPr>
            </w:pPr>
            <w:r w:rsidRPr="00063075">
              <w:rPr>
                <w:rFonts w:ascii="Times New Roman" w:hAnsi="Times New Roman"/>
                <w:b/>
                <w:bCs/>
                <w:i/>
                <w:iCs/>
                <w:sz w:val="16"/>
                <w:szCs w:val="16"/>
              </w:rPr>
              <w:t>Location</w:t>
            </w:r>
          </w:p>
        </w:tc>
        <w:tc>
          <w:tcPr>
            <w:tcW w:w="1728" w:type="dxa"/>
            <w:tcMar>
              <w:top w:w="100" w:type="nil"/>
              <w:right w:w="100" w:type="nil"/>
            </w:tcMar>
            <w:vAlign w:val="center"/>
          </w:tcPr>
          <w:p w14:paraId="1D6696DA"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03B5E90A"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4B9CED1"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17400BE2"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54297F69" w14:textId="77777777" w:rsidTr="00270E36">
        <w:tc>
          <w:tcPr>
            <w:tcW w:w="1836" w:type="dxa"/>
            <w:tcMar>
              <w:top w:w="100" w:type="nil"/>
              <w:right w:w="100" w:type="nil"/>
            </w:tcMar>
            <w:vAlign w:val="center"/>
          </w:tcPr>
          <w:p w14:paraId="24C73ABF"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Texas</w:t>
            </w:r>
          </w:p>
        </w:tc>
        <w:tc>
          <w:tcPr>
            <w:tcW w:w="1728" w:type="dxa"/>
            <w:tcMar>
              <w:top w:w="100" w:type="nil"/>
              <w:right w:w="100" w:type="nil"/>
            </w:tcMar>
            <w:vAlign w:val="center"/>
          </w:tcPr>
          <w:p w14:paraId="0A258396"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1.677</w:t>
            </w:r>
            <w:r w:rsidRPr="00063075">
              <w:rPr>
                <w:rFonts w:ascii="Times New Roman" w:hAnsi="Times New Roman"/>
                <w:sz w:val="16"/>
                <w:szCs w:val="16"/>
                <w:vertAlign w:val="superscript"/>
              </w:rPr>
              <w:t>***</w:t>
            </w:r>
          </w:p>
        </w:tc>
        <w:tc>
          <w:tcPr>
            <w:tcW w:w="1728" w:type="dxa"/>
            <w:tcMar>
              <w:top w:w="100" w:type="nil"/>
              <w:right w:w="100" w:type="nil"/>
            </w:tcMar>
            <w:vAlign w:val="center"/>
          </w:tcPr>
          <w:p w14:paraId="5C35CEEF"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1.526</w:t>
            </w:r>
            <w:r w:rsidRPr="00063075">
              <w:rPr>
                <w:rFonts w:ascii="Times New Roman" w:hAnsi="Times New Roman"/>
                <w:sz w:val="16"/>
                <w:szCs w:val="16"/>
                <w:vertAlign w:val="superscript"/>
              </w:rPr>
              <w:t>**</w:t>
            </w:r>
          </w:p>
        </w:tc>
        <w:tc>
          <w:tcPr>
            <w:tcW w:w="1728" w:type="dxa"/>
            <w:tcMar>
              <w:top w:w="100" w:type="nil"/>
              <w:right w:w="100" w:type="nil"/>
            </w:tcMar>
            <w:vAlign w:val="center"/>
          </w:tcPr>
          <w:p w14:paraId="17507E9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0.367</w:t>
            </w:r>
          </w:p>
        </w:tc>
        <w:tc>
          <w:tcPr>
            <w:tcW w:w="1728" w:type="dxa"/>
            <w:tcMar>
              <w:top w:w="100" w:type="nil"/>
              <w:right w:w="100" w:type="nil"/>
            </w:tcMar>
            <w:vAlign w:val="center"/>
          </w:tcPr>
          <w:p w14:paraId="06144F0E"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0.653</w:t>
            </w:r>
            <w:r w:rsidRPr="00063075">
              <w:rPr>
                <w:rFonts w:ascii="Times New Roman" w:hAnsi="Times New Roman"/>
                <w:sz w:val="16"/>
                <w:szCs w:val="16"/>
                <w:vertAlign w:val="superscript"/>
              </w:rPr>
              <w:t>*</w:t>
            </w:r>
          </w:p>
        </w:tc>
      </w:tr>
      <w:tr w:rsidR="009B537D" w:rsidRPr="00063075" w14:paraId="2B2BFD00" w14:textId="77777777" w:rsidTr="00270E36">
        <w:tc>
          <w:tcPr>
            <w:tcW w:w="1836" w:type="dxa"/>
            <w:tcMar>
              <w:top w:w="100" w:type="nil"/>
              <w:right w:w="100" w:type="nil"/>
            </w:tcMar>
            <w:vAlign w:val="center"/>
          </w:tcPr>
          <w:p w14:paraId="5709C93E"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2D7A3128"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(0.274)</w:t>
            </w:r>
          </w:p>
        </w:tc>
        <w:tc>
          <w:tcPr>
            <w:tcW w:w="1728" w:type="dxa"/>
            <w:tcMar>
              <w:top w:w="100" w:type="nil"/>
              <w:right w:w="100" w:type="nil"/>
            </w:tcMar>
            <w:vAlign w:val="center"/>
          </w:tcPr>
          <w:p w14:paraId="43BC9902"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(0.491)</w:t>
            </w:r>
          </w:p>
        </w:tc>
        <w:tc>
          <w:tcPr>
            <w:tcW w:w="1728" w:type="dxa"/>
            <w:tcMar>
              <w:top w:w="100" w:type="nil"/>
              <w:right w:w="100" w:type="nil"/>
            </w:tcMar>
            <w:vAlign w:val="center"/>
          </w:tcPr>
          <w:p w14:paraId="3546B486"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(0.243)</w:t>
            </w:r>
          </w:p>
        </w:tc>
        <w:tc>
          <w:tcPr>
            <w:tcW w:w="1728" w:type="dxa"/>
            <w:tcMar>
              <w:top w:w="100" w:type="nil"/>
              <w:right w:w="100" w:type="nil"/>
            </w:tcMar>
            <w:vAlign w:val="center"/>
          </w:tcPr>
          <w:p w14:paraId="74884780"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(0.269)</w:t>
            </w:r>
          </w:p>
        </w:tc>
      </w:tr>
      <w:tr w:rsidR="009B537D" w:rsidRPr="00063075" w14:paraId="26C25E6B" w14:textId="77777777" w:rsidTr="00270E36">
        <w:tc>
          <w:tcPr>
            <w:tcW w:w="1836" w:type="dxa"/>
            <w:tcMar>
              <w:top w:w="100" w:type="nil"/>
              <w:right w:w="100" w:type="nil"/>
            </w:tcMar>
            <w:vAlign w:val="center"/>
          </w:tcPr>
          <w:p w14:paraId="5195BA72"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81E9242"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47DDEEEE"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2823EB2B"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050187C6"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2656B390" w14:textId="77777777" w:rsidTr="00270E36">
        <w:tc>
          <w:tcPr>
            <w:tcW w:w="1836" w:type="dxa"/>
            <w:tcMar>
              <w:top w:w="100" w:type="nil"/>
              <w:right w:w="100" w:type="nil"/>
            </w:tcMar>
            <w:vAlign w:val="center"/>
          </w:tcPr>
          <w:p w14:paraId="09ACFE26"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Colorado</w:t>
            </w:r>
          </w:p>
        </w:tc>
        <w:tc>
          <w:tcPr>
            <w:tcW w:w="1728" w:type="dxa"/>
            <w:tcMar>
              <w:top w:w="100" w:type="nil"/>
              <w:right w:w="100" w:type="nil"/>
            </w:tcMar>
            <w:vAlign w:val="center"/>
          </w:tcPr>
          <w:p w14:paraId="4C9EB206"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0.0676</w:t>
            </w:r>
          </w:p>
        </w:tc>
        <w:tc>
          <w:tcPr>
            <w:tcW w:w="1728" w:type="dxa"/>
            <w:tcMar>
              <w:top w:w="100" w:type="nil"/>
              <w:right w:w="100" w:type="nil"/>
            </w:tcMar>
            <w:vAlign w:val="center"/>
          </w:tcPr>
          <w:p w14:paraId="7F206F2F"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0.280</w:t>
            </w:r>
          </w:p>
        </w:tc>
        <w:tc>
          <w:tcPr>
            <w:tcW w:w="1728" w:type="dxa"/>
            <w:tcMar>
              <w:top w:w="100" w:type="nil"/>
              <w:right w:w="100" w:type="nil"/>
            </w:tcMar>
            <w:vAlign w:val="center"/>
          </w:tcPr>
          <w:p w14:paraId="1A566A9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-0.185</w:t>
            </w:r>
          </w:p>
        </w:tc>
        <w:tc>
          <w:tcPr>
            <w:tcW w:w="1728" w:type="dxa"/>
            <w:tcMar>
              <w:top w:w="100" w:type="nil"/>
              <w:right w:w="100" w:type="nil"/>
            </w:tcMar>
            <w:vAlign w:val="center"/>
          </w:tcPr>
          <w:p w14:paraId="00430656"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0.0777</w:t>
            </w:r>
          </w:p>
        </w:tc>
      </w:tr>
      <w:tr w:rsidR="009B537D" w:rsidRPr="00063075" w14:paraId="1CCB61B1" w14:textId="77777777" w:rsidTr="00270E36">
        <w:tc>
          <w:tcPr>
            <w:tcW w:w="1836" w:type="dxa"/>
            <w:tcMar>
              <w:top w:w="100" w:type="nil"/>
              <w:right w:w="100" w:type="nil"/>
            </w:tcMar>
            <w:vAlign w:val="center"/>
          </w:tcPr>
          <w:p w14:paraId="67335621"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77C2EC5"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(0.403)</w:t>
            </w:r>
          </w:p>
        </w:tc>
        <w:tc>
          <w:tcPr>
            <w:tcW w:w="1728" w:type="dxa"/>
            <w:tcMar>
              <w:top w:w="100" w:type="nil"/>
              <w:right w:w="100" w:type="nil"/>
            </w:tcMar>
            <w:vAlign w:val="center"/>
          </w:tcPr>
          <w:p w14:paraId="321AFBEE"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(0.243)</w:t>
            </w:r>
          </w:p>
        </w:tc>
        <w:tc>
          <w:tcPr>
            <w:tcW w:w="1728" w:type="dxa"/>
            <w:tcMar>
              <w:top w:w="100" w:type="nil"/>
              <w:right w:w="100" w:type="nil"/>
            </w:tcMar>
            <w:vAlign w:val="center"/>
          </w:tcPr>
          <w:p w14:paraId="503FB46C"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(0.303)</w:t>
            </w:r>
          </w:p>
        </w:tc>
        <w:tc>
          <w:tcPr>
            <w:tcW w:w="1728" w:type="dxa"/>
            <w:tcMar>
              <w:top w:w="100" w:type="nil"/>
              <w:right w:w="100" w:type="nil"/>
            </w:tcMar>
            <w:vAlign w:val="center"/>
          </w:tcPr>
          <w:p w14:paraId="36F980B5"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(0.196)</w:t>
            </w:r>
          </w:p>
        </w:tc>
      </w:tr>
      <w:tr w:rsidR="009B537D" w:rsidRPr="00063075" w14:paraId="29E060B6" w14:textId="77777777" w:rsidTr="00270E36">
        <w:tc>
          <w:tcPr>
            <w:tcW w:w="1836" w:type="dxa"/>
            <w:tcMar>
              <w:top w:w="100" w:type="nil"/>
              <w:right w:w="100" w:type="nil"/>
            </w:tcMar>
            <w:vAlign w:val="center"/>
          </w:tcPr>
          <w:p w14:paraId="416F9725"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1064A18"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19556AE4"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CF25D27"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8ECA770"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3A01B4E1" w14:textId="77777777" w:rsidTr="00270E36">
        <w:tc>
          <w:tcPr>
            <w:tcW w:w="1836" w:type="dxa"/>
            <w:tcMar>
              <w:top w:w="100" w:type="nil"/>
              <w:right w:w="100" w:type="nil"/>
            </w:tcMar>
            <w:vAlign w:val="center"/>
          </w:tcPr>
          <w:p w14:paraId="1FEAE4AF"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Michigan</w:t>
            </w:r>
          </w:p>
        </w:tc>
        <w:tc>
          <w:tcPr>
            <w:tcW w:w="1728" w:type="dxa"/>
            <w:tcMar>
              <w:top w:w="100" w:type="nil"/>
              <w:right w:w="100" w:type="nil"/>
            </w:tcMar>
            <w:vAlign w:val="center"/>
          </w:tcPr>
          <w:p w14:paraId="1153DAC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-0.631</w:t>
            </w:r>
          </w:p>
        </w:tc>
        <w:tc>
          <w:tcPr>
            <w:tcW w:w="1728" w:type="dxa"/>
            <w:tcMar>
              <w:top w:w="100" w:type="nil"/>
              <w:right w:w="100" w:type="nil"/>
            </w:tcMar>
            <w:vAlign w:val="center"/>
          </w:tcPr>
          <w:p w14:paraId="58FBD509"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-0.496</w:t>
            </w:r>
          </w:p>
        </w:tc>
        <w:tc>
          <w:tcPr>
            <w:tcW w:w="1728" w:type="dxa"/>
            <w:tcMar>
              <w:top w:w="100" w:type="nil"/>
              <w:right w:w="100" w:type="nil"/>
            </w:tcMar>
            <w:vAlign w:val="center"/>
          </w:tcPr>
          <w:p w14:paraId="50289994"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-0.285</w:t>
            </w:r>
          </w:p>
        </w:tc>
        <w:tc>
          <w:tcPr>
            <w:tcW w:w="1728" w:type="dxa"/>
            <w:tcMar>
              <w:top w:w="100" w:type="nil"/>
              <w:right w:w="100" w:type="nil"/>
            </w:tcMar>
            <w:vAlign w:val="center"/>
          </w:tcPr>
          <w:p w14:paraId="40989E67"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-0.243</w:t>
            </w:r>
          </w:p>
        </w:tc>
      </w:tr>
      <w:tr w:rsidR="009B537D" w:rsidRPr="00063075" w14:paraId="57077B2A" w14:textId="77777777" w:rsidTr="00270E36">
        <w:tc>
          <w:tcPr>
            <w:tcW w:w="1836" w:type="dxa"/>
            <w:tcMar>
              <w:top w:w="100" w:type="nil"/>
              <w:right w:w="100" w:type="nil"/>
            </w:tcMar>
            <w:vAlign w:val="center"/>
          </w:tcPr>
          <w:p w14:paraId="6E84DEF2"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A69E77E"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(0.337)</w:t>
            </w:r>
          </w:p>
        </w:tc>
        <w:tc>
          <w:tcPr>
            <w:tcW w:w="1728" w:type="dxa"/>
            <w:tcMar>
              <w:top w:w="100" w:type="nil"/>
              <w:right w:w="100" w:type="nil"/>
            </w:tcMar>
            <w:vAlign w:val="center"/>
          </w:tcPr>
          <w:p w14:paraId="4BE2B719"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(0.254)</w:t>
            </w:r>
          </w:p>
        </w:tc>
        <w:tc>
          <w:tcPr>
            <w:tcW w:w="1728" w:type="dxa"/>
            <w:tcMar>
              <w:top w:w="100" w:type="nil"/>
              <w:right w:w="100" w:type="nil"/>
            </w:tcMar>
            <w:vAlign w:val="center"/>
          </w:tcPr>
          <w:p w14:paraId="53970A54"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(0.303)</w:t>
            </w:r>
          </w:p>
        </w:tc>
        <w:tc>
          <w:tcPr>
            <w:tcW w:w="1728" w:type="dxa"/>
            <w:tcMar>
              <w:top w:w="100" w:type="nil"/>
              <w:right w:w="100" w:type="nil"/>
            </w:tcMar>
            <w:vAlign w:val="center"/>
          </w:tcPr>
          <w:p w14:paraId="647426F5"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(0.222)</w:t>
            </w:r>
          </w:p>
        </w:tc>
      </w:tr>
      <w:tr w:rsidR="009B537D" w:rsidRPr="00063075" w14:paraId="4B7965AB" w14:textId="77777777" w:rsidTr="00270E36">
        <w:tc>
          <w:tcPr>
            <w:tcW w:w="1836" w:type="dxa"/>
            <w:tcMar>
              <w:top w:w="100" w:type="nil"/>
              <w:right w:w="100" w:type="nil"/>
            </w:tcMar>
            <w:vAlign w:val="center"/>
          </w:tcPr>
          <w:p w14:paraId="550CE541"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AC3D723"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6214276"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4FFA685"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0EA42DB0"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151804A1" w14:textId="77777777" w:rsidTr="00270E36">
        <w:tc>
          <w:tcPr>
            <w:tcW w:w="1836" w:type="dxa"/>
            <w:tcMar>
              <w:top w:w="100" w:type="nil"/>
              <w:right w:w="100" w:type="nil"/>
            </w:tcMar>
            <w:vAlign w:val="center"/>
          </w:tcPr>
          <w:p w14:paraId="0B3E3BD3"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California</w:t>
            </w:r>
          </w:p>
        </w:tc>
        <w:tc>
          <w:tcPr>
            <w:tcW w:w="1728" w:type="dxa"/>
            <w:tcMar>
              <w:top w:w="100" w:type="nil"/>
              <w:right w:w="100" w:type="nil"/>
            </w:tcMar>
            <w:vAlign w:val="center"/>
          </w:tcPr>
          <w:p w14:paraId="6D89B3F0"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0.382</w:t>
            </w:r>
          </w:p>
        </w:tc>
        <w:tc>
          <w:tcPr>
            <w:tcW w:w="1728" w:type="dxa"/>
            <w:tcMar>
              <w:top w:w="100" w:type="nil"/>
              <w:right w:w="100" w:type="nil"/>
            </w:tcMar>
            <w:vAlign w:val="center"/>
          </w:tcPr>
          <w:p w14:paraId="56C8F76C"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0.168</w:t>
            </w:r>
          </w:p>
        </w:tc>
        <w:tc>
          <w:tcPr>
            <w:tcW w:w="1728" w:type="dxa"/>
            <w:tcMar>
              <w:top w:w="100" w:type="nil"/>
              <w:right w:w="100" w:type="nil"/>
            </w:tcMar>
            <w:vAlign w:val="center"/>
          </w:tcPr>
          <w:p w14:paraId="76C8C02D"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0.121</w:t>
            </w:r>
          </w:p>
        </w:tc>
        <w:tc>
          <w:tcPr>
            <w:tcW w:w="1728" w:type="dxa"/>
            <w:tcMar>
              <w:top w:w="100" w:type="nil"/>
              <w:right w:w="100" w:type="nil"/>
            </w:tcMar>
            <w:vAlign w:val="center"/>
          </w:tcPr>
          <w:p w14:paraId="0E81654D"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0.145</w:t>
            </w:r>
          </w:p>
        </w:tc>
      </w:tr>
      <w:tr w:rsidR="009B537D" w:rsidRPr="00063075" w14:paraId="02A3EF59" w14:textId="77777777" w:rsidTr="00270E36">
        <w:tc>
          <w:tcPr>
            <w:tcW w:w="1836" w:type="dxa"/>
            <w:tcMar>
              <w:top w:w="100" w:type="nil"/>
              <w:right w:w="100" w:type="nil"/>
            </w:tcMar>
            <w:vAlign w:val="center"/>
          </w:tcPr>
          <w:p w14:paraId="55765D2B"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8E11BCE"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(0.232)</w:t>
            </w:r>
          </w:p>
        </w:tc>
        <w:tc>
          <w:tcPr>
            <w:tcW w:w="1728" w:type="dxa"/>
            <w:tcMar>
              <w:top w:w="100" w:type="nil"/>
              <w:right w:w="100" w:type="nil"/>
            </w:tcMar>
            <w:vAlign w:val="center"/>
          </w:tcPr>
          <w:p w14:paraId="2EF477DE"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(0.208)</w:t>
            </w:r>
          </w:p>
        </w:tc>
        <w:tc>
          <w:tcPr>
            <w:tcW w:w="1728" w:type="dxa"/>
            <w:tcMar>
              <w:top w:w="100" w:type="nil"/>
              <w:right w:w="100" w:type="nil"/>
            </w:tcMar>
            <w:vAlign w:val="center"/>
          </w:tcPr>
          <w:p w14:paraId="73A744CE"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(0.156)</w:t>
            </w:r>
          </w:p>
        </w:tc>
        <w:tc>
          <w:tcPr>
            <w:tcW w:w="1728" w:type="dxa"/>
            <w:tcMar>
              <w:top w:w="100" w:type="nil"/>
              <w:right w:w="100" w:type="nil"/>
            </w:tcMar>
            <w:vAlign w:val="center"/>
          </w:tcPr>
          <w:p w14:paraId="730785C6"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(0.167)</w:t>
            </w:r>
          </w:p>
        </w:tc>
      </w:tr>
      <w:tr w:rsidR="009B537D" w:rsidRPr="00063075" w14:paraId="0C2CB574" w14:textId="77777777" w:rsidTr="00270E36">
        <w:tc>
          <w:tcPr>
            <w:tcW w:w="1836" w:type="dxa"/>
            <w:tcMar>
              <w:top w:w="100" w:type="nil"/>
              <w:right w:w="100" w:type="nil"/>
            </w:tcMar>
            <w:vAlign w:val="center"/>
          </w:tcPr>
          <w:p w14:paraId="6621EAE4"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E3D2A90"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4B9698D9"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B72A20F"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27C00280"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535A982D" w14:textId="77777777" w:rsidTr="00270E36">
        <w:tc>
          <w:tcPr>
            <w:tcW w:w="1836" w:type="dxa"/>
            <w:tcMar>
              <w:top w:w="100" w:type="nil"/>
              <w:right w:w="100" w:type="nil"/>
            </w:tcMar>
            <w:vAlign w:val="center"/>
          </w:tcPr>
          <w:p w14:paraId="2A39EB86"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 xml:space="preserve">Other </w:t>
            </w:r>
          </w:p>
        </w:tc>
        <w:tc>
          <w:tcPr>
            <w:tcW w:w="1728" w:type="dxa"/>
            <w:tcMar>
              <w:top w:w="100" w:type="nil"/>
              <w:right w:w="100" w:type="nil"/>
            </w:tcMar>
            <w:vAlign w:val="center"/>
          </w:tcPr>
          <w:p w14:paraId="0B0D38FE"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0.187</w:t>
            </w:r>
          </w:p>
        </w:tc>
        <w:tc>
          <w:tcPr>
            <w:tcW w:w="1728" w:type="dxa"/>
            <w:tcMar>
              <w:top w:w="100" w:type="nil"/>
              <w:right w:w="100" w:type="nil"/>
            </w:tcMar>
            <w:vAlign w:val="center"/>
          </w:tcPr>
          <w:p w14:paraId="15501C6D"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0.203</w:t>
            </w:r>
          </w:p>
        </w:tc>
        <w:tc>
          <w:tcPr>
            <w:tcW w:w="1728" w:type="dxa"/>
            <w:tcMar>
              <w:top w:w="100" w:type="nil"/>
              <w:right w:w="100" w:type="nil"/>
            </w:tcMar>
            <w:vAlign w:val="center"/>
          </w:tcPr>
          <w:p w14:paraId="3D5F4542"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0.253</w:t>
            </w:r>
          </w:p>
        </w:tc>
        <w:tc>
          <w:tcPr>
            <w:tcW w:w="1728" w:type="dxa"/>
            <w:tcMar>
              <w:top w:w="100" w:type="nil"/>
              <w:right w:w="100" w:type="nil"/>
            </w:tcMar>
            <w:vAlign w:val="center"/>
          </w:tcPr>
          <w:p w14:paraId="0AF0CFA5"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0.325</w:t>
            </w:r>
          </w:p>
        </w:tc>
      </w:tr>
      <w:tr w:rsidR="009B537D" w:rsidRPr="00063075" w14:paraId="2AB011B5" w14:textId="77777777" w:rsidTr="00270E36">
        <w:tc>
          <w:tcPr>
            <w:tcW w:w="1836" w:type="dxa"/>
            <w:tcMar>
              <w:top w:w="100" w:type="nil"/>
              <w:right w:w="100" w:type="nil"/>
            </w:tcMar>
            <w:vAlign w:val="center"/>
          </w:tcPr>
          <w:p w14:paraId="558CC8C5"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14FEFFEA"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(0.311)</w:t>
            </w:r>
          </w:p>
        </w:tc>
        <w:tc>
          <w:tcPr>
            <w:tcW w:w="1728" w:type="dxa"/>
            <w:tcMar>
              <w:top w:w="100" w:type="nil"/>
              <w:right w:w="100" w:type="nil"/>
            </w:tcMar>
            <w:vAlign w:val="center"/>
          </w:tcPr>
          <w:p w14:paraId="15AC7F63"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(0.346)</w:t>
            </w:r>
          </w:p>
        </w:tc>
        <w:tc>
          <w:tcPr>
            <w:tcW w:w="1728" w:type="dxa"/>
            <w:tcMar>
              <w:top w:w="100" w:type="nil"/>
              <w:right w:w="100" w:type="nil"/>
            </w:tcMar>
            <w:vAlign w:val="center"/>
          </w:tcPr>
          <w:p w14:paraId="159FC877"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(0.296)</w:t>
            </w:r>
          </w:p>
        </w:tc>
        <w:tc>
          <w:tcPr>
            <w:tcW w:w="1728" w:type="dxa"/>
            <w:tcMar>
              <w:top w:w="100" w:type="nil"/>
              <w:right w:w="100" w:type="nil"/>
            </w:tcMar>
            <w:vAlign w:val="center"/>
          </w:tcPr>
          <w:p w14:paraId="2DDA4C5B"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(0.279)</w:t>
            </w:r>
          </w:p>
        </w:tc>
      </w:tr>
      <w:tr w:rsidR="009B537D" w:rsidRPr="00063075" w14:paraId="7AF64806" w14:textId="77777777" w:rsidTr="00270E36">
        <w:tc>
          <w:tcPr>
            <w:tcW w:w="1836" w:type="dxa"/>
            <w:tcMar>
              <w:top w:w="100" w:type="nil"/>
              <w:right w:w="100" w:type="nil"/>
            </w:tcMar>
            <w:vAlign w:val="center"/>
          </w:tcPr>
          <w:p w14:paraId="3FA40DA4" w14:textId="77777777" w:rsidR="009B537D" w:rsidRPr="00063075" w:rsidRDefault="009B537D" w:rsidP="00270E36">
            <w:pPr>
              <w:autoSpaceDE w:val="0"/>
              <w:autoSpaceDN w:val="0"/>
              <w:adjustRightInd w:val="0"/>
              <w:rPr>
                <w:rFonts w:ascii="Times New Roman" w:hAnsi="Times New Roman"/>
                <w:b/>
                <w:bCs/>
                <w:i/>
                <w:iCs/>
                <w:sz w:val="16"/>
                <w:szCs w:val="16"/>
              </w:rPr>
            </w:pPr>
          </w:p>
        </w:tc>
        <w:tc>
          <w:tcPr>
            <w:tcW w:w="1728" w:type="dxa"/>
            <w:tcMar>
              <w:top w:w="100" w:type="nil"/>
              <w:right w:w="100" w:type="nil"/>
            </w:tcMar>
            <w:vAlign w:val="center"/>
          </w:tcPr>
          <w:p w14:paraId="13AC31F6"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500554A0"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78C690B"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0A6D2EA"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3B8D57B7" w14:textId="77777777" w:rsidTr="00270E36">
        <w:tc>
          <w:tcPr>
            <w:tcW w:w="1836" w:type="dxa"/>
            <w:tcMar>
              <w:top w:w="100" w:type="nil"/>
              <w:right w:w="100" w:type="nil"/>
            </w:tcMar>
            <w:vAlign w:val="center"/>
          </w:tcPr>
          <w:p w14:paraId="55361965" w14:textId="77777777" w:rsidR="009B537D" w:rsidRPr="00063075" w:rsidRDefault="009B537D" w:rsidP="00270E36">
            <w:pPr>
              <w:autoSpaceDE w:val="0"/>
              <w:autoSpaceDN w:val="0"/>
              <w:adjustRightInd w:val="0"/>
              <w:rPr>
                <w:rFonts w:ascii="Times New Roman" w:hAnsi="Times New Roman"/>
                <w:b/>
                <w:bCs/>
                <w:i/>
                <w:iCs/>
                <w:sz w:val="16"/>
                <w:szCs w:val="16"/>
              </w:rPr>
            </w:pPr>
            <w:r w:rsidRPr="00063075">
              <w:rPr>
                <w:rFonts w:ascii="Times New Roman" w:hAnsi="Times New Roman"/>
                <w:b/>
                <w:bCs/>
                <w:i/>
                <w:iCs/>
                <w:sz w:val="16"/>
                <w:szCs w:val="16"/>
              </w:rPr>
              <w:t>Patents</w:t>
            </w:r>
          </w:p>
        </w:tc>
        <w:tc>
          <w:tcPr>
            <w:tcW w:w="1728" w:type="dxa"/>
            <w:tcMar>
              <w:top w:w="100" w:type="nil"/>
              <w:right w:w="100" w:type="nil"/>
            </w:tcMar>
            <w:vAlign w:val="center"/>
          </w:tcPr>
          <w:p w14:paraId="1779246A"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1D76BF7E"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F9CF51A"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373C65A"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56E7E96D" w14:textId="77777777" w:rsidTr="00270E36">
        <w:tc>
          <w:tcPr>
            <w:tcW w:w="1836" w:type="dxa"/>
            <w:tcMar>
              <w:top w:w="100" w:type="nil"/>
              <w:right w:w="100" w:type="nil"/>
            </w:tcMar>
            <w:vAlign w:val="center"/>
          </w:tcPr>
          <w:p w14:paraId="386AEC69" w14:textId="77777777" w:rsidR="009B537D" w:rsidRPr="00063075" w:rsidRDefault="009B537D" w:rsidP="00270E36">
            <w:pPr>
              <w:autoSpaceDE w:val="0"/>
              <w:autoSpaceDN w:val="0"/>
              <w:adjustRightInd w:val="0"/>
              <w:rPr>
                <w:rFonts w:ascii="Times New Roman" w:hAnsi="Times New Roman"/>
                <w:sz w:val="16"/>
                <w:szCs w:val="16"/>
              </w:rPr>
            </w:pPr>
            <w:proofErr w:type="gramStart"/>
            <w:r w:rsidRPr="00063075">
              <w:rPr>
                <w:rFonts w:ascii="Times New Roman" w:hAnsi="Times New Roman"/>
                <w:sz w:val="16"/>
                <w:szCs w:val="16"/>
              </w:rPr>
              <w:t>Same  Tech</w:t>
            </w:r>
            <w:proofErr w:type="gramEnd"/>
          </w:p>
        </w:tc>
        <w:tc>
          <w:tcPr>
            <w:tcW w:w="1728" w:type="dxa"/>
            <w:tcMar>
              <w:top w:w="100" w:type="nil"/>
              <w:right w:w="100" w:type="nil"/>
            </w:tcMar>
            <w:vAlign w:val="center"/>
          </w:tcPr>
          <w:p w14:paraId="78FC455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-0.0462</w:t>
            </w:r>
          </w:p>
        </w:tc>
        <w:tc>
          <w:tcPr>
            <w:tcW w:w="1728" w:type="dxa"/>
            <w:tcMar>
              <w:top w:w="100" w:type="nil"/>
              <w:right w:w="100" w:type="nil"/>
            </w:tcMar>
            <w:vAlign w:val="center"/>
          </w:tcPr>
          <w:p w14:paraId="00FC3814"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-0.0531</w:t>
            </w:r>
          </w:p>
        </w:tc>
        <w:tc>
          <w:tcPr>
            <w:tcW w:w="1728" w:type="dxa"/>
            <w:tcMar>
              <w:top w:w="100" w:type="nil"/>
              <w:right w:w="100" w:type="nil"/>
            </w:tcMar>
            <w:vAlign w:val="center"/>
          </w:tcPr>
          <w:p w14:paraId="67001049"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0.0840</w:t>
            </w:r>
          </w:p>
        </w:tc>
        <w:tc>
          <w:tcPr>
            <w:tcW w:w="1728" w:type="dxa"/>
            <w:tcMar>
              <w:top w:w="100" w:type="nil"/>
              <w:right w:w="100" w:type="nil"/>
            </w:tcMar>
            <w:vAlign w:val="center"/>
          </w:tcPr>
          <w:p w14:paraId="087DA32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0.0225</w:t>
            </w:r>
          </w:p>
        </w:tc>
      </w:tr>
      <w:tr w:rsidR="009B537D" w:rsidRPr="00063075" w14:paraId="16711A97" w14:textId="77777777" w:rsidTr="00270E36">
        <w:tc>
          <w:tcPr>
            <w:tcW w:w="1836" w:type="dxa"/>
            <w:tcMar>
              <w:top w:w="100" w:type="nil"/>
              <w:right w:w="100" w:type="nil"/>
            </w:tcMar>
            <w:vAlign w:val="center"/>
          </w:tcPr>
          <w:p w14:paraId="19F2DC88"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15031065"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(0.190)</w:t>
            </w:r>
          </w:p>
        </w:tc>
        <w:tc>
          <w:tcPr>
            <w:tcW w:w="1728" w:type="dxa"/>
            <w:tcMar>
              <w:top w:w="100" w:type="nil"/>
              <w:right w:w="100" w:type="nil"/>
            </w:tcMar>
            <w:vAlign w:val="center"/>
          </w:tcPr>
          <w:p w14:paraId="3198B50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(0.143)</w:t>
            </w:r>
          </w:p>
        </w:tc>
        <w:tc>
          <w:tcPr>
            <w:tcW w:w="1728" w:type="dxa"/>
            <w:tcMar>
              <w:top w:w="100" w:type="nil"/>
              <w:right w:w="100" w:type="nil"/>
            </w:tcMar>
            <w:vAlign w:val="center"/>
          </w:tcPr>
          <w:p w14:paraId="4A64B7B0"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(0.127)</w:t>
            </w:r>
          </w:p>
        </w:tc>
        <w:tc>
          <w:tcPr>
            <w:tcW w:w="1728" w:type="dxa"/>
            <w:tcMar>
              <w:top w:w="100" w:type="nil"/>
              <w:right w:w="100" w:type="nil"/>
            </w:tcMar>
            <w:vAlign w:val="center"/>
          </w:tcPr>
          <w:p w14:paraId="14E7A9FD"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(0.120)</w:t>
            </w:r>
          </w:p>
        </w:tc>
      </w:tr>
      <w:tr w:rsidR="009B537D" w:rsidRPr="00063075" w14:paraId="1B6A25CE" w14:textId="77777777" w:rsidTr="00270E36">
        <w:tc>
          <w:tcPr>
            <w:tcW w:w="1836" w:type="dxa"/>
            <w:tcMar>
              <w:top w:w="100" w:type="nil"/>
              <w:right w:w="100" w:type="nil"/>
            </w:tcMar>
            <w:vAlign w:val="center"/>
          </w:tcPr>
          <w:p w14:paraId="0C15D7DE"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D071E4A"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5521D107"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0D5CD2B6"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D0C4970"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15DABAC5" w14:textId="77777777" w:rsidTr="00270E36">
        <w:tc>
          <w:tcPr>
            <w:tcW w:w="1836" w:type="dxa"/>
            <w:tcMar>
              <w:top w:w="100" w:type="nil"/>
              <w:right w:w="100" w:type="nil"/>
            </w:tcMar>
            <w:vAlign w:val="center"/>
          </w:tcPr>
          <w:p w14:paraId="52391AB0"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Word Count</w:t>
            </w:r>
          </w:p>
        </w:tc>
        <w:tc>
          <w:tcPr>
            <w:tcW w:w="1728" w:type="dxa"/>
            <w:tcMar>
              <w:top w:w="100" w:type="nil"/>
              <w:right w:w="100" w:type="nil"/>
            </w:tcMar>
            <w:vAlign w:val="center"/>
          </w:tcPr>
          <w:p w14:paraId="73C1BD62"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-0.000590</w:t>
            </w:r>
          </w:p>
        </w:tc>
        <w:tc>
          <w:tcPr>
            <w:tcW w:w="1728" w:type="dxa"/>
            <w:tcMar>
              <w:top w:w="100" w:type="nil"/>
              <w:right w:w="100" w:type="nil"/>
            </w:tcMar>
            <w:vAlign w:val="center"/>
          </w:tcPr>
          <w:p w14:paraId="6A8B4492"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0.000187</w:t>
            </w:r>
          </w:p>
        </w:tc>
        <w:tc>
          <w:tcPr>
            <w:tcW w:w="1728" w:type="dxa"/>
            <w:tcMar>
              <w:top w:w="100" w:type="nil"/>
              <w:right w:w="100" w:type="nil"/>
            </w:tcMar>
            <w:vAlign w:val="center"/>
          </w:tcPr>
          <w:p w14:paraId="7BD28B7F"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0.000705</w:t>
            </w:r>
          </w:p>
        </w:tc>
        <w:tc>
          <w:tcPr>
            <w:tcW w:w="1728" w:type="dxa"/>
            <w:tcMar>
              <w:top w:w="100" w:type="nil"/>
              <w:right w:w="100" w:type="nil"/>
            </w:tcMar>
            <w:vAlign w:val="center"/>
          </w:tcPr>
          <w:p w14:paraId="573E8E02"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0.00140</w:t>
            </w:r>
            <w:r w:rsidRPr="00063075">
              <w:rPr>
                <w:rFonts w:ascii="Times New Roman" w:hAnsi="Times New Roman"/>
                <w:sz w:val="16"/>
                <w:szCs w:val="16"/>
                <w:vertAlign w:val="superscript"/>
              </w:rPr>
              <w:t>*</w:t>
            </w:r>
          </w:p>
        </w:tc>
      </w:tr>
      <w:tr w:rsidR="009B537D" w:rsidRPr="00063075" w14:paraId="3F393B22" w14:textId="77777777" w:rsidTr="00270E36">
        <w:tc>
          <w:tcPr>
            <w:tcW w:w="1836" w:type="dxa"/>
            <w:tcMar>
              <w:top w:w="100" w:type="nil"/>
              <w:right w:w="100" w:type="nil"/>
            </w:tcMar>
            <w:vAlign w:val="center"/>
          </w:tcPr>
          <w:p w14:paraId="033BDB75"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2A5EBA59"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(0.000799)</w:t>
            </w:r>
          </w:p>
        </w:tc>
        <w:tc>
          <w:tcPr>
            <w:tcW w:w="1728" w:type="dxa"/>
            <w:tcMar>
              <w:top w:w="100" w:type="nil"/>
              <w:right w:w="100" w:type="nil"/>
            </w:tcMar>
            <w:vAlign w:val="center"/>
          </w:tcPr>
          <w:p w14:paraId="0F1FAD92"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(0.000693)</w:t>
            </w:r>
          </w:p>
        </w:tc>
        <w:tc>
          <w:tcPr>
            <w:tcW w:w="1728" w:type="dxa"/>
            <w:tcMar>
              <w:top w:w="100" w:type="nil"/>
              <w:right w:w="100" w:type="nil"/>
            </w:tcMar>
            <w:vAlign w:val="center"/>
          </w:tcPr>
          <w:p w14:paraId="4D527E39"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(0.000621)</w:t>
            </w:r>
          </w:p>
        </w:tc>
        <w:tc>
          <w:tcPr>
            <w:tcW w:w="1728" w:type="dxa"/>
            <w:tcMar>
              <w:top w:w="100" w:type="nil"/>
              <w:right w:w="100" w:type="nil"/>
            </w:tcMar>
            <w:vAlign w:val="center"/>
          </w:tcPr>
          <w:p w14:paraId="70C135C8"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(0.000559)</w:t>
            </w:r>
          </w:p>
        </w:tc>
      </w:tr>
      <w:tr w:rsidR="009B537D" w:rsidRPr="00063075" w14:paraId="668E8999" w14:textId="77777777" w:rsidTr="00270E36">
        <w:tc>
          <w:tcPr>
            <w:tcW w:w="1836" w:type="dxa"/>
            <w:tcMar>
              <w:top w:w="100" w:type="nil"/>
              <w:right w:w="100" w:type="nil"/>
            </w:tcMar>
            <w:vAlign w:val="center"/>
          </w:tcPr>
          <w:p w14:paraId="119E5C66" w14:textId="77777777" w:rsidR="009B537D" w:rsidRPr="00063075" w:rsidRDefault="009B537D" w:rsidP="00270E36">
            <w:pPr>
              <w:autoSpaceDE w:val="0"/>
              <w:autoSpaceDN w:val="0"/>
              <w:adjustRightInd w:val="0"/>
              <w:rPr>
                <w:rFonts w:ascii="Times New Roman" w:hAnsi="Times New Roman"/>
                <w:b/>
                <w:bCs/>
                <w:i/>
                <w:iCs/>
                <w:sz w:val="16"/>
                <w:szCs w:val="16"/>
              </w:rPr>
            </w:pPr>
          </w:p>
        </w:tc>
        <w:tc>
          <w:tcPr>
            <w:tcW w:w="1728" w:type="dxa"/>
            <w:tcMar>
              <w:top w:w="100" w:type="nil"/>
              <w:right w:w="100" w:type="nil"/>
            </w:tcMar>
            <w:vAlign w:val="center"/>
          </w:tcPr>
          <w:p w14:paraId="034B6EC1"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FE49057"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E825C94"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A269E29"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1320EAC0" w14:textId="77777777" w:rsidTr="00270E36">
        <w:tc>
          <w:tcPr>
            <w:tcW w:w="1836" w:type="dxa"/>
            <w:tcMar>
              <w:top w:w="100" w:type="nil"/>
              <w:right w:w="100" w:type="nil"/>
            </w:tcMar>
            <w:vAlign w:val="center"/>
          </w:tcPr>
          <w:p w14:paraId="05419258" w14:textId="77777777" w:rsidR="009B537D" w:rsidRPr="00063075" w:rsidRDefault="009B537D" w:rsidP="00270E36">
            <w:pPr>
              <w:autoSpaceDE w:val="0"/>
              <w:autoSpaceDN w:val="0"/>
              <w:adjustRightInd w:val="0"/>
              <w:rPr>
                <w:rFonts w:ascii="Times New Roman" w:hAnsi="Times New Roman"/>
                <w:b/>
                <w:bCs/>
                <w:i/>
                <w:iCs/>
                <w:sz w:val="16"/>
                <w:szCs w:val="16"/>
              </w:rPr>
            </w:pPr>
            <w:r w:rsidRPr="00063075">
              <w:rPr>
                <w:rFonts w:ascii="Times New Roman" w:hAnsi="Times New Roman"/>
                <w:b/>
                <w:bCs/>
                <w:i/>
                <w:iCs/>
                <w:sz w:val="16"/>
                <w:szCs w:val="16"/>
              </w:rPr>
              <w:t>Panel</w:t>
            </w:r>
          </w:p>
        </w:tc>
        <w:tc>
          <w:tcPr>
            <w:tcW w:w="1728" w:type="dxa"/>
            <w:tcMar>
              <w:top w:w="100" w:type="nil"/>
              <w:right w:w="100" w:type="nil"/>
            </w:tcMar>
            <w:vAlign w:val="center"/>
          </w:tcPr>
          <w:p w14:paraId="3F97F2B1"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43463709"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7BA19BA"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3979DD05"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53870B89" w14:textId="77777777" w:rsidTr="00270E36">
        <w:tc>
          <w:tcPr>
            <w:tcW w:w="1836" w:type="dxa"/>
            <w:tcMar>
              <w:top w:w="100" w:type="nil"/>
              <w:right w:w="100" w:type="nil"/>
            </w:tcMar>
            <w:vAlign w:val="center"/>
          </w:tcPr>
          <w:p w14:paraId="70DA8ABC"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Same Panel</w:t>
            </w:r>
          </w:p>
        </w:tc>
        <w:tc>
          <w:tcPr>
            <w:tcW w:w="1728" w:type="dxa"/>
            <w:tcMar>
              <w:top w:w="100" w:type="nil"/>
              <w:right w:w="100" w:type="nil"/>
            </w:tcMar>
            <w:vAlign w:val="center"/>
          </w:tcPr>
          <w:p w14:paraId="0B0936FA"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-0.0847</w:t>
            </w:r>
          </w:p>
        </w:tc>
        <w:tc>
          <w:tcPr>
            <w:tcW w:w="1728" w:type="dxa"/>
            <w:tcMar>
              <w:top w:w="100" w:type="nil"/>
              <w:right w:w="100" w:type="nil"/>
            </w:tcMar>
            <w:vAlign w:val="center"/>
          </w:tcPr>
          <w:p w14:paraId="7B8EBEDA"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-0.122</w:t>
            </w:r>
          </w:p>
        </w:tc>
        <w:tc>
          <w:tcPr>
            <w:tcW w:w="1728" w:type="dxa"/>
            <w:tcMar>
              <w:top w:w="100" w:type="nil"/>
              <w:right w:w="100" w:type="nil"/>
            </w:tcMar>
            <w:vAlign w:val="center"/>
          </w:tcPr>
          <w:p w14:paraId="2E3CAD94"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-0.247</w:t>
            </w:r>
          </w:p>
        </w:tc>
        <w:tc>
          <w:tcPr>
            <w:tcW w:w="1728" w:type="dxa"/>
            <w:tcMar>
              <w:top w:w="100" w:type="nil"/>
              <w:right w:w="100" w:type="nil"/>
            </w:tcMar>
            <w:vAlign w:val="center"/>
          </w:tcPr>
          <w:p w14:paraId="68DBCE52"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-0.200</w:t>
            </w:r>
          </w:p>
        </w:tc>
      </w:tr>
      <w:tr w:rsidR="009B537D" w:rsidRPr="00063075" w14:paraId="63D89DF5" w14:textId="77777777" w:rsidTr="00270E36">
        <w:tc>
          <w:tcPr>
            <w:tcW w:w="1836" w:type="dxa"/>
            <w:tcMar>
              <w:top w:w="100" w:type="nil"/>
              <w:right w:w="100" w:type="nil"/>
            </w:tcMar>
            <w:vAlign w:val="center"/>
          </w:tcPr>
          <w:p w14:paraId="7ED2683F"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8F64526"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(0.167)</w:t>
            </w:r>
          </w:p>
        </w:tc>
        <w:tc>
          <w:tcPr>
            <w:tcW w:w="1728" w:type="dxa"/>
            <w:tcMar>
              <w:top w:w="100" w:type="nil"/>
              <w:right w:w="100" w:type="nil"/>
            </w:tcMar>
            <w:vAlign w:val="center"/>
          </w:tcPr>
          <w:p w14:paraId="4AC7C435"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(0.152)</w:t>
            </w:r>
          </w:p>
        </w:tc>
        <w:tc>
          <w:tcPr>
            <w:tcW w:w="1728" w:type="dxa"/>
            <w:tcMar>
              <w:top w:w="100" w:type="nil"/>
              <w:right w:w="100" w:type="nil"/>
            </w:tcMar>
            <w:vAlign w:val="center"/>
          </w:tcPr>
          <w:p w14:paraId="6CBEF354"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(0.148)</w:t>
            </w:r>
          </w:p>
        </w:tc>
        <w:tc>
          <w:tcPr>
            <w:tcW w:w="1728" w:type="dxa"/>
            <w:tcMar>
              <w:top w:w="100" w:type="nil"/>
              <w:right w:w="100" w:type="nil"/>
            </w:tcMar>
            <w:vAlign w:val="center"/>
          </w:tcPr>
          <w:p w14:paraId="7489C1B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(0.125)</w:t>
            </w:r>
          </w:p>
        </w:tc>
      </w:tr>
      <w:tr w:rsidR="009B537D" w:rsidRPr="00063075" w14:paraId="633F8751" w14:textId="77777777" w:rsidTr="00270E36">
        <w:tc>
          <w:tcPr>
            <w:tcW w:w="1836" w:type="dxa"/>
            <w:tcMar>
              <w:top w:w="100" w:type="nil"/>
              <w:right w:w="100" w:type="nil"/>
            </w:tcMar>
            <w:vAlign w:val="center"/>
          </w:tcPr>
          <w:p w14:paraId="0830A72F"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4D8A6E1F"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52AF7001"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2F68C0EA"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60BD8FB9"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5A8DA20B" w14:textId="77777777" w:rsidTr="00270E36">
        <w:tc>
          <w:tcPr>
            <w:tcW w:w="1836" w:type="dxa"/>
            <w:tcMar>
              <w:top w:w="100" w:type="nil"/>
              <w:right w:w="100" w:type="nil"/>
            </w:tcMar>
            <w:vAlign w:val="center"/>
          </w:tcPr>
          <w:p w14:paraId="173729D6" w14:textId="77777777" w:rsidR="009B537D" w:rsidRPr="00063075" w:rsidRDefault="009B537D" w:rsidP="00270E36">
            <w:pPr>
              <w:autoSpaceDE w:val="0"/>
              <w:autoSpaceDN w:val="0"/>
              <w:adjustRightInd w:val="0"/>
              <w:rPr>
                <w:rFonts w:ascii="Times New Roman" w:hAnsi="Times New Roman"/>
                <w:sz w:val="16"/>
                <w:szCs w:val="16"/>
              </w:rPr>
            </w:pPr>
            <w:proofErr w:type="spellStart"/>
            <w:r w:rsidRPr="00063075">
              <w:rPr>
                <w:rFonts w:ascii="Times New Roman" w:hAnsi="Times New Roman"/>
                <w:sz w:val="16"/>
                <w:szCs w:val="16"/>
              </w:rPr>
              <w:t>Dif</w:t>
            </w:r>
            <w:proofErr w:type="spellEnd"/>
            <w:r w:rsidRPr="00063075">
              <w:rPr>
                <w:rFonts w:ascii="Times New Roman" w:hAnsi="Times New Roman"/>
                <w:sz w:val="16"/>
                <w:szCs w:val="16"/>
              </w:rPr>
              <w:t xml:space="preserve"> Presider</w:t>
            </w:r>
          </w:p>
        </w:tc>
        <w:tc>
          <w:tcPr>
            <w:tcW w:w="1728" w:type="dxa"/>
            <w:tcMar>
              <w:top w:w="100" w:type="nil"/>
              <w:right w:w="100" w:type="nil"/>
            </w:tcMar>
            <w:vAlign w:val="center"/>
          </w:tcPr>
          <w:p w14:paraId="3A4CB070"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-0.620</w:t>
            </w:r>
            <w:r w:rsidRPr="00063075">
              <w:rPr>
                <w:rFonts w:ascii="Times New Roman" w:hAnsi="Times New Roman"/>
                <w:sz w:val="16"/>
                <w:szCs w:val="16"/>
                <w:vertAlign w:val="superscript"/>
              </w:rPr>
              <w:t>**</w:t>
            </w:r>
          </w:p>
        </w:tc>
        <w:tc>
          <w:tcPr>
            <w:tcW w:w="1728" w:type="dxa"/>
            <w:tcMar>
              <w:top w:w="100" w:type="nil"/>
              <w:right w:w="100" w:type="nil"/>
            </w:tcMar>
            <w:vAlign w:val="center"/>
          </w:tcPr>
          <w:p w14:paraId="2B198D48"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-0.644</w:t>
            </w:r>
            <w:r w:rsidRPr="00063075">
              <w:rPr>
                <w:rFonts w:ascii="Times New Roman" w:hAnsi="Times New Roman"/>
                <w:sz w:val="16"/>
                <w:szCs w:val="16"/>
                <w:vertAlign w:val="superscript"/>
              </w:rPr>
              <w:t>***</w:t>
            </w:r>
          </w:p>
        </w:tc>
        <w:tc>
          <w:tcPr>
            <w:tcW w:w="1728" w:type="dxa"/>
            <w:tcMar>
              <w:top w:w="100" w:type="nil"/>
              <w:right w:w="100" w:type="nil"/>
            </w:tcMar>
            <w:vAlign w:val="center"/>
          </w:tcPr>
          <w:p w14:paraId="0E4DDFC5"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-0.504</w:t>
            </w:r>
            <w:r w:rsidRPr="00063075">
              <w:rPr>
                <w:rFonts w:ascii="Times New Roman" w:hAnsi="Times New Roman"/>
                <w:sz w:val="16"/>
                <w:szCs w:val="16"/>
                <w:vertAlign w:val="superscript"/>
              </w:rPr>
              <w:t>*</w:t>
            </w:r>
          </w:p>
        </w:tc>
        <w:tc>
          <w:tcPr>
            <w:tcW w:w="1728" w:type="dxa"/>
            <w:tcMar>
              <w:top w:w="100" w:type="nil"/>
              <w:right w:w="100" w:type="nil"/>
            </w:tcMar>
            <w:vAlign w:val="center"/>
          </w:tcPr>
          <w:p w14:paraId="5C8E4F86"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-0.637</w:t>
            </w:r>
            <w:r w:rsidRPr="00063075">
              <w:rPr>
                <w:rFonts w:ascii="Times New Roman" w:hAnsi="Times New Roman"/>
                <w:sz w:val="16"/>
                <w:szCs w:val="16"/>
                <w:vertAlign w:val="superscript"/>
              </w:rPr>
              <w:t>***</w:t>
            </w:r>
          </w:p>
        </w:tc>
      </w:tr>
      <w:tr w:rsidR="009B537D" w:rsidRPr="00063075" w14:paraId="5A8E1F50" w14:textId="77777777" w:rsidTr="00270E36">
        <w:tc>
          <w:tcPr>
            <w:tcW w:w="1836" w:type="dxa"/>
            <w:tcMar>
              <w:top w:w="100" w:type="nil"/>
              <w:right w:w="100" w:type="nil"/>
            </w:tcMar>
            <w:vAlign w:val="center"/>
          </w:tcPr>
          <w:p w14:paraId="068E5C16"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1E6F7489"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(0.232)</w:t>
            </w:r>
          </w:p>
        </w:tc>
        <w:tc>
          <w:tcPr>
            <w:tcW w:w="1728" w:type="dxa"/>
            <w:tcMar>
              <w:top w:w="100" w:type="nil"/>
              <w:right w:w="100" w:type="nil"/>
            </w:tcMar>
            <w:vAlign w:val="center"/>
          </w:tcPr>
          <w:p w14:paraId="34D67C9E"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(0.188)</w:t>
            </w:r>
          </w:p>
        </w:tc>
        <w:tc>
          <w:tcPr>
            <w:tcW w:w="1728" w:type="dxa"/>
            <w:tcMar>
              <w:top w:w="100" w:type="nil"/>
              <w:right w:w="100" w:type="nil"/>
            </w:tcMar>
            <w:vAlign w:val="center"/>
          </w:tcPr>
          <w:p w14:paraId="237792DD"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(0.208)</w:t>
            </w:r>
          </w:p>
        </w:tc>
        <w:tc>
          <w:tcPr>
            <w:tcW w:w="1728" w:type="dxa"/>
            <w:tcMar>
              <w:top w:w="100" w:type="nil"/>
              <w:right w:w="100" w:type="nil"/>
            </w:tcMar>
            <w:vAlign w:val="center"/>
          </w:tcPr>
          <w:p w14:paraId="3D49FD7B"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(0.167)</w:t>
            </w:r>
          </w:p>
        </w:tc>
      </w:tr>
      <w:tr w:rsidR="009B537D" w:rsidRPr="00063075" w14:paraId="39DE58E0" w14:textId="77777777" w:rsidTr="00270E36">
        <w:tc>
          <w:tcPr>
            <w:tcW w:w="1836" w:type="dxa"/>
            <w:tcMar>
              <w:top w:w="100" w:type="nil"/>
              <w:right w:w="100" w:type="nil"/>
            </w:tcMar>
            <w:vAlign w:val="center"/>
          </w:tcPr>
          <w:p w14:paraId="195432C8"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4E2CD9A7"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29A6C1F2"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7D6B386D"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1560B3CC" w14:textId="77777777" w:rsidR="009B537D" w:rsidRPr="00063075" w:rsidRDefault="009B537D" w:rsidP="00270E36">
            <w:pPr>
              <w:autoSpaceDE w:val="0"/>
              <w:autoSpaceDN w:val="0"/>
              <w:adjustRightInd w:val="0"/>
              <w:rPr>
                <w:rFonts w:ascii="Times New Roman" w:hAnsi="Times New Roman"/>
                <w:sz w:val="16"/>
                <w:szCs w:val="16"/>
              </w:rPr>
            </w:pPr>
          </w:p>
        </w:tc>
      </w:tr>
      <w:tr w:rsidR="009B537D" w:rsidRPr="00063075" w14:paraId="1BFB7C61" w14:textId="77777777" w:rsidTr="00270E36">
        <w:tc>
          <w:tcPr>
            <w:tcW w:w="1836" w:type="dxa"/>
            <w:tcMar>
              <w:top w:w="100" w:type="nil"/>
              <w:right w:w="100" w:type="nil"/>
            </w:tcMar>
            <w:vAlign w:val="center"/>
          </w:tcPr>
          <w:p w14:paraId="220452F5"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Author</w:t>
            </w:r>
          </w:p>
        </w:tc>
        <w:tc>
          <w:tcPr>
            <w:tcW w:w="1728" w:type="dxa"/>
            <w:tcMar>
              <w:top w:w="100" w:type="nil"/>
              <w:right w:w="100" w:type="nil"/>
            </w:tcMar>
            <w:vAlign w:val="center"/>
          </w:tcPr>
          <w:p w14:paraId="1AEF42B8"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Mar>
              <w:top w:w="100" w:type="nil"/>
              <w:right w:w="100" w:type="nil"/>
            </w:tcMar>
            <w:vAlign w:val="center"/>
          </w:tcPr>
          <w:p w14:paraId="67DF4BC8"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-0.00730</w:t>
            </w:r>
          </w:p>
        </w:tc>
        <w:tc>
          <w:tcPr>
            <w:tcW w:w="1728" w:type="dxa"/>
            <w:tcMar>
              <w:top w:w="100" w:type="nil"/>
              <w:right w:w="100" w:type="nil"/>
            </w:tcMar>
            <w:vAlign w:val="center"/>
          </w:tcPr>
          <w:p w14:paraId="7C6B27AC"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Mar>
              <w:top w:w="100" w:type="nil"/>
              <w:right w:w="100" w:type="nil"/>
            </w:tcMar>
            <w:vAlign w:val="center"/>
          </w:tcPr>
          <w:p w14:paraId="35DDE087"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-0.0107</w:t>
            </w:r>
          </w:p>
        </w:tc>
      </w:tr>
      <w:tr w:rsidR="009B537D" w:rsidRPr="00063075" w14:paraId="1BDE21EA" w14:textId="77777777" w:rsidTr="00270E36">
        <w:tc>
          <w:tcPr>
            <w:tcW w:w="1836" w:type="dxa"/>
            <w:tcBorders>
              <w:bottom w:val="single" w:sz="4" w:space="0" w:color="auto"/>
            </w:tcBorders>
            <w:tcMar>
              <w:top w:w="100" w:type="nil"/>
              <w:right w:w="100" w:type="nil"/>
            </w:tcMar>
            <w:vAlign w:val="center"/>
          </w:tcPr>
          <w:p w14:paraId="19DF46D8"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Borders>
              <w:bottom w:val="single" w:sz="4" w:space="0" w:color="auto"/>
            </w:tcBorders>
            <w:tcMar>
              <w:top w:w="100" w:type="nil"/>
              <w:right w:w="100" w:type="nil"/>
            </w:tcMar>
            <w:vAlign w:val="center"/>
          </w:tcPr>
          <w:p w14:paraId="25AD8963"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Borders>
              <w:bottom w:val="single" w:sz="4" w:space="0" w:color="auto"/>
            </w:tcBorders>
            <w:tcMar>
              <w:top w:w="100" w:type="nil"/>
              <w:right w:w="100" w:type="nil"/>
            </w:tcMar>
            <w:vAlign w:val="center"/>
          </w:tcPr>
          <w:p w14:paraId="0D7C684B"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(0.00750)</w:t>
            </w:r>
          </w:p>
        </w:tc>
        <w:tc>
          <w:tcPr>
            <w:tcW w:w="1728" w:type="dxa"/>
            <w:tcBorders>
              <w:bottom w:val="single" w:sz="4" w:space="0" w:color="auto"/>
            </w:tcBorders>
            <w:tcMar>
              <w:top w:w="100" w:type="nil"/>
              <w:right w:w="100" w:type="nil"/>
            </w:tcMar>
            <w:vAlign w:val="center"/>
          </w:tcPr>
          <w:p w14:paraId="78B9CA1A"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Borders>
              <w:bottom w:val="single" w:sz="4" w:space="0" w:color="auto"/>
            </w:tcBorders>
            <w:tcMar>
              <w:top w:w="100" w:type="nil"/>
              <w:right w:w="100" w:type="nil"/>
            </w:tcMar>
            <w:vAlign w:val="center"/>
          </w:tcPr>
          <w:p w14:paraId="0A8B44E1"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(0.00644)</w:t>
            </w:r>
          </w:p>
        </w:tc>
      </w:tr>
      <w:tr w:rsidR="009B537D" w:rsidRPr="00063075" w14:paraId="385ECA2E" w14:textId="77777777" w:rsidTr="00270E36">
        <w:tc>
          <w:tcPr>
            <w:tcW w:w="1836" w:type="dxa"/>
            <w:tcBorders>
              <w:top w:val="single" w:sz="4" w:space="0" w:color="auto"/>
            </w:tcBorders>
            <w:tcMar>
              <w:top w:w="100" w:type="nil"/>
              <w:right w:w="100" w:type="nil"/>
            </w:tcMar>
            <w:vAlign w:val="center"/>
          </w:tcPr>
          <w:p w14:paraId="33C7CDFF"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Borders>
              <w:top w:val="single" w:sz="4" w:space="0" w:color="auto"/>
            </w:tcBorders>
            <w:tcMar>
              <w:top w:w="100" w:type="nil"/>
              <w:right w:w="100" w:type="nil"/>
            </w:tcMar>
            <w:vAlign w:val="center"/>
          </w:tcPr>
          <w:p w14:paraId="13368E20"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Borders>
              <w:top w:val="single" w:sz="4" w:space="0" w:color="auto"/>
            </w:tcBorders>
            <w:tcMar>
              <w:top w:w="100" w:type="nil"/>
              <w:right w:w="100" w:type="nil"/>
            </w:tcMar>
            <w:vAlign w:val="center"/>
          </w:tcPr>
          <w:p w14:paraId="2EF716FA"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Borders>
              <w:top w:val="single" w:sz="4" w:space="0" w:color="auto"/>
            </w:tcBorders>
            <w:tcMar>
              <w:top w:w="100" w:type="nil"/>
              <w:right w:w="100" w:type="nil"/>
            </w:tcMar>
            <w:vAlign w:val="center"/>
          </w:tcPr>
          <w:p w14:paraId="583934E2"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Borders>
              <w:top w:val="single" w:sz="4" w:space="0" w:color="auto"/>
            </w:tcBorders>
            <w:tcMar>
              <w:top w:w="100" w:type="nil"/>
              <w:right w:w="100" w:type="nil"/>
            </w:tcMar>
            <w:vAlign w:val="center"/>
          </w:tcPr>
          <w:p w14:paraId="25AEA78E" w14:textId="77777777" w:rsidR="009B537D" w:rsidRPr="00063075" w:rsidRDefault="009B537D" w:rsidP="00270E36">
            <w:pPr>
              <w:autoSpaceDE w:val="0"/>
              <w:autoSpaceDN w:val="0"/>
              <w:adjustRightInd w:val="0"/>
              <w:jc w:val="center"/>
              <w:rPr>
                <w:rFonts w:ascii="Times New Roman" w:hAnsi="Times New Roman"/>
                <w:sz w:val="16"/>
                <w:szCs w:val="16"/>
              </w:rPr>
            </w:pPr>
          </w:p>
        </w:tc>
      </w:tr>
      <w:tr w:rsidR="009B537D" w:rsidRPr="00063075" w14:paraId="57600A41" w14:textId="77777777" w:rsidTr="00270E36">
        <w:tc>
          <w:tcPr>
            <w:tcW w:w="1836" w:type="dxa"/>
            <w:tcBorders>
              <w:bottom w:val="single" w:sz="4" w:space="0" w:color="auto"/>
            </w:tcBorders>
            <w:tcMar>
              <w:top w:w="100" w:type="nil"/>
              <w:right w:w="100" w:type="nil"/>
            </w:tcMar>
            <w:vAlign w:val="center"/>
          </w:tcPr>
          <w:p w14:paraId="277F0727"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Year Fixed Effects</w:t>
            </w:r>
          </w:p>
        </w:tc>
        <w:tc>
          <w:tcPr>
            <w:tcW w:w="1728" w:type="dxa"/>
            <w:tcBorders>
              <w:bottom w:val="single" w:sz="4" w:space="0" w:color="auto"/>
            </w:tcBorders>
            <w:tcMar>
              <w:top w:w="100" w:type="nil"/>
              <w:right w:w="100" w:type="nil"/>
            </w:tcMar>
            <w:vAlign w:val="center"/>
          </w:tcPr>
          <w:p w14:paraId="4F421EBC"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Yes</w:t>
            </w:r>
          </w:p>
        </w:tc>
        <w:tc>
          <w:tcPr>
            <w:tcW w:w="1728" w:type="dxa"/>
            <w:tcBorders>
              <w:bottom w:val="single" w:sz="4" w:space="0" w:color="auto"/>
            </w:tcBorders>
            <w:tcMar>
              <w:top w:w="100" w:type="nil"/>
              <w:right w:w="100" w:type="nil"/>
            </w:tcMar>
            <w:vAlign w:val="center"/>
          </w:tcPr>
          <w:p w14:paraId="36A1FBA6"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Yes</w:t>
            </w:r>
          </w:p>
        </w:tc>
        <w:tc>
          <w:tcPr>
            <w:tcW w:w="1728" w:type="dxa"/>
            <w:tcBorders>
              <w:bottom w:val="single" w:sz="4" w:space="0" w:color="auto"/>
            </w:tcBorders>
            <w:tcMar>
              <w:top w:w="100" w:type="nil"/>
              <w:right w:w="100" w:type="nil"/>
            </w:tcMar>
            <w:vAlign w:val="center"/>
          </w:tcPr>
          <w:p w14:paraId="7F3FD19D"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Yes</w:t>
            </w:r>
          </w:p>
        </w:tc>
        <w:tc>
          <w:tcPr>
            <w:tcW w:w="1728" w:type="dxa"/>
            <w:tcBorders>
              <w:bottom w:val="single" w:sz="4" w:space="0" w:color="auto"/>
            </w:tcBorders>
            <w:tcMar>
              <w:top w:w="100" w:type="nil"/>
              <w:right w:w="100" w:type="nil"/>
            </w:tcMar>
            <w:vAlign w:val="center"/>
          </w:tcPr>
          <w:p w14:paraId="4E596AB9"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Yes</w:t>
            </w:r>
          </w:p>
        </w:tc>
      </w:tr>
      <w:tr w:rsidR="009B537D" w:rsidRPr="00063075" w14:paraId="08DEC02E" w14:textId="77777777" w:rsidTr="00270E36">
        <w:tc>
          <w:tcPr>
            <w:tcW w:w="1836" w:type="dxa"/>
            <w:tcBorders>
              <w:top w:val="single" w:sz="4" w:space="0" w:color="auto"/>
            </w:tcBorders>
            <w:tcMar>
              <w:top w:w="100" w:type="nil"/>
              <w:right w:w="100" w:type="nil"/>
            </w:tcMar>
            <w:vAlign w:val="center"/>
          </w:tcPr>
          <w:p w14:paraId="1A7651A8"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sz w:val="16"/>
                <w:szCs w:val="16"/>
              </w:rPr>
              <w:t>_cons</w:t>
            </w:r>
          </w:p>
        </w:tc>
        <w:tc>
          <w:tcPr>
            <w:tcW w:w="1728" w:type="dxa"/>
            <w:tcBorders>
              <w:top w:val="single" w:sz="4" w:space="0" w:color="auto"/>
            </w:tcBorders>
            <w:tcMar>
              <w:top w:w="100" w:type="nil"/>
              <w:right w:w="100" w:type="nil"/>
            </w:tcMar>
            <w:vAlign w:val="center"/>
          </w:tcPr>
          <w:p w14:paraId="48275F0A"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-0.141</w:t>
            </w:r>
          </w:p>
        </w:tc>
        <w:tc>
          <w:tcPr>
            <w:tcW w:w="1728" w:type="dxa"/>
            <w:tcBorders>
              <w:top w:val="single" w:sz="4" w:space="0" w:color="auto"/>
            </w:tcBorders>
            <w:tcMar>
              <w:top w:w="100" w:type="nil"/>
              <w:right w:w="100" w:type="nil"/>
            </w:tcMar>
            <w:vAlign w:val="center"/>
          </w:tcPr>
          <w:p w14:paraId="2975E7A3"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-0.413</w:t>
            </w:r>
          </w:p>
        </w:tc>
        <w:tc>
          <w:tcPr>
            <w:tcW w:w="1728" w:type="dxa"/>
            <w:tcBorders>
              <w:top w:val="single" w:sz="4" w:space="0" w:color="auto"/>
            </w:tcBorders>
            <w:tcMar>
              <w:top w:w="100" w:type="nil"/>
              <w:right w:w="100" w:type="nil"/>
            </w:tcMar>
            <w:vAlign w:val="center"/>
          </w:tcPr>
          <w:p w14:paraId="2B442C5C"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-0.632</w:t>
            </w:r>
          </w:p>
        </w:tc>
        <w:tc>
          <w:tcPr>
            <w:tcW w:w="1728" w:type="dxa"/>
            <w:tcBorders>
              <w:top w:val="single" w:sz="4" w:space="0" w:color="auto"/>
            </w:tcBorders>
            <w:tcMar>
              <w:top w:w="100" w:type="nil"/>
              <w:right w:w="100" w:type="nil"/>
            </w:tcMar>
            <w:vAlign w:val="center"/>
          </w:tcPr>
          <w:p w14:paraId="71669E95"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-1.068</w:t>
            </w:r>
            <w:r w:rsidRPr="00063075">
              <w:rPr>
                <w:rFonts w:ascii="Times New Roman" w:hAnsi="Times New Roman"/>
                <w:sz w:val="16"/>
                <w:szCs w:val="16"/>
                <w:vertAlign w:val="superscript"/>
              </w:rPr>
              <w:t>**</w:t>
            </w:r>
          </w:p>
        </w:tc>
      </w:tr>
      <w:tr w:rsidR="009B537D" w:rsidRPr="00063075" w14:paraId="53DA1993" w14:textId="77777777" w:rsidTr="00270E36">
        <w:tc>
          <w:tcPr>
            <w:tcW w:w="1836" w:type="dxa"/>
            <w:tcMar>
              <w:top w:w="100" w:type="nil"/>
              <w:right w:w="100" w:type="nil"/>
            </w:tcMar>
            <w:vAlign w:val="center"/>
          </w:tcPr>
          <w:p w14:paraId="647F5689" w14:textId="77777777" w:rsidR="009B537D" w:rsidRPr="00063075" w:rsidRDefault="009B537D" w:rsidP="00270E36">
            <w:pPr>
              <w:autoSpaceDE w:val="0"/>
              <w:autoSpaceDN w:val="0"/>
              <w:adjustRightInd w:val="0"/>
              <w:rPr>
                <w:rFonts w:ascii="Times New Roman" w:hAnsi="Times New Roman"/>
                <w:sz w:val="16"/>
                <w:szCs w:val="16"/>
              </w:rPr>
            </w:pPr>
          </w:p>
        </w:tc>
        <w:tc>
          <w:tcPr>
            <w:tcW w:w="1728" w:type="dxa"/>
            <w:tcMar>
              <w:top w:w="100" w:type="nil"/>
              <w:right w:w="100" w:type="nil"/>
            </w:tcMar>
            <w:vAlign w:val="center"/>
          </w:tcPr>
          <w:p w14:paraId="0427BDF5"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(0.449)</w:t>
            </w:r>
          </w:p>
        </w:tc>
        <w:tc>
          <w:tcPr>
            <w:tcW w:w="1728" w:type="dxa"/>
            <w:tcMar>
              <w:top w:w="100" w:type="nil"/>
              <w:right w:w="100" w:type="nil"/>
            </w:tcMar>
            <w:vAlign w:val="center"/>
          </w:tcPr>
          <w:p w14:paraId="03AF20F9"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(0.407)</w:t>
            </w:r>
          </w:p>
        </w:tc>
        <w:tc>
          <w:tcPr>
            <w:tcW w:w="1728" w:type="dxa"/>
            <w:tcMar>
              <w:top w:w="100" w:type="nil"/>
              <w:right w:w="100" w:type="nil"/>
            </w:tcMar>
            <w:vAlign w:val="center"/>
          </w:tcPr>
          <w:p w14:paraId="70909013"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(0.378)</w:t>
            </w:r>
          </w:p>
        </w:tc>
        <w:tc>
          <w:tcPr>
            <w:tcW w:w="1728" w:type="dxa"/>
            <w:tcMar>
              <w:top w:w="100" w:type="nil"/>
              <w:right w:w="100" w:type="nil"/>
            </w:tcMar>
            <w:vAlign w:val="center"/>
          </w:tcPr>
          <w:p w14:paraId="74F41BC4"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(0.344)</w:t>
            </w:r>
          </w:p>
        </w:tc>
      </w:tr>
      <w:tr w:rsidR="009B537D" w:rsidRPr="00063075" w14:paraId="3DBBA872" w14:textId="77777777" w:rsidTr="00270E36">
        <w:tc>
          <w:tcPr>
            <w:tcW w:w="1836" w:type="dxa"/>
            <w:tcMar>
              <w:top w:w="100" w:type="nil"/>
              <w:right w:w="100" w:type="nil"/>
            </w:tcMar>
            <w:vAlign w:val="center"/>
          </w:tcPr>
          <w:p w14:paraId="7114017A"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i/>
                <w:iCs/>
                <w:sz w:val="16"/>
                <w:szCs w:val="16"/>
              </w:rPr>
              <w:t>N</w:t>
            </w:r>
          </w:p>
        </w:tc>
        <w:tc>
          <w:tcPr>
            <w:tcW w:w="1728" w:type="dxa"/>
            <w:tcMar>
              <w:top w:w="100" w:type="nil"/>
              <w:right w:w="100" w:type="nil"/>
            </w:tcMar>
            <w:vAlign w:val="center"/>
          </w:tcPr>
          <w:p w14:paraId="2789A6CC"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3091</w:t>
            </w:r>
          </w:p>
        </w:tc>
        <w:tc>
          <w:tcPr>
            <w:tcW w:w="1728" w:type="dxa"/>
            <w:tcMar>
              <w:top w:w="100" w:type="nil"/>
              <w:right w:w="100" w:type="nil"/>
            </w:tcMar>
            <w:vAlign w:val="center"/>
          </w:tcPr>
          <w:p w14:paraId="66D0B527"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7125</w:t>
            </w:r>
          </w:p>
        </w:tc>
        <w:tc>
          <w:tcPr>
            <w:tcW w:w="1728" w:type="dxa"/>
            <w:tcMar>
              <w:top w:w="100" w:type="nil"/>
              <w:right w:w="100" w:type="nil"/>
            </w:tcMar>
            <w:vAlign w:val="center"/>
          </w:tcPr>
          <w:p w14:paraId="6FC27939"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3110</w:t>
            </w:r>
          </w:p>
        </w:tc>
        <w:tc>
          <w:tcPr>
            <w:tcW w:w="1728" w:type="dxa"/>
            <w:tcMar>
              <w:top w:w="100" w:type="nil"/>
              <w:right w:w="100" w:type="nil"/>
            </w:tcMar>
            <w:vAlign w:val="center"/>
          </w:tcPr>
          <w:p w14:paraId="12B17AAB" w14:textId="77777777" w:rsidR="009B537D" w:rsidRPr="00063075" w:rsidRDefault="009B537D" w:rsidP="00270E36">
            <w:pPr>
              <w:autoSpaceDE w:val="0"/>
              <w:autoSpaceDN w:val="0"/>
              <w:adjustRightInd w:val="0"/>
              <w:jc w:val="center"/>
              <w:rPr>
                <w:rFonts w:ascii="Times New Roman" w:hAnsi="Times New Roman"/>
                <w:sz w:val="16"/>
                <w:szCs w:val="16"/>
              </w:rPr>
            </w:pPr>
            <w:r w:rsidRPr="00063075">
              <w:rPr>
                <w:rFonts w:ascii="Times New Roman" w:hAnsi="Times New Roman"/>
                <w:sz w:val="16"/>
                <w:szCs w:val="16"/>
              </w:rPr>
              <w:t>7125</w:t>
            </w:r>
          </w:p>
        </w:tc>
      </w:tr>
      <w:tr w:rsidR="009B537D" w:rsidRPr="00063075" w14:paraId="63440A0E" w14:textId="77777777" w:rsidTr="00270E36">
        <w:tc>
          <w:tcPr>
            <w:tcW w:w="1836" w:type="dxa"/>
            <w:tcBorders>
              <w:bottom w:val="single" w:sz="4" w:space="0" w:color="auto"/>
            </w:tcBorders>
            <w:tcMar>
              <w:top w:w="100" w:type="nil"/>
              <w:right w:w="100" w:type="nil"/>
            </w:tcMar>
            <w:vAlign w:val="center"/>
          </w:tcPr>
          <w:p w14:paraId="6339EB56" w14:textId="77777777" w:rsidR="009B537D" w:rsidRPr="00063075" w:rsidRDefault="009B537D" w:rsidP="00270E36">
            <w:pPr>
              <w:autoSpaceDE w:val="0"/>
              <w:autoSpaceDN w:val="0"/>
              <w:adjustRightInd w:val="0"/>
              <w:rPr>
                <w:rFonts w:ascii="Times New Roman" w:hAnsi="Times New Roman"/>
                <w:sz w:val="16"/>
                <w:szCs w:val="16"/>
              </w:rPr>
            </w:pPr>
            <w:r w:rsidRPr="00063075">
              <w:rPr>
                <w:rFonts w:ascii="Times New Roman" w:hAnsi="Times New Roman"/>
                <w:i/>
                <w:iCs/>
                <w:sz w:val="16"/>
                <w:szCs w:val="16"/>
              </w:rPr>
              <w:t>R</w:t>
            </w:r>
            <w:r w:rsidRPr="00063075">
              <w:rPr>
                <w:rFonts w:ascii="Times New Roman" w:hAnsi="Times New Roman"/>
                <w:sz w:val="16"/>
                <w:szCs w:val="16"/>
                <w:vertAlign w:val="superscript"/>
              </w:rPr>
              <w:t>2</w:t>
            </w:r>
          </w:p>
        </w:tc>
        <w:tc>
          <w:tcPr>
            <w:tcW w:w="1728" w:type="dxa"/>
            <w:tcBorders>
              <w:bottom w:val="single" w:sz="4" w:space="0" w:color="auto"/>
            </w:tcBorders>
            <w:tcMar>
              <w:top w:w="100" w:type="nil"/>
              <w:right w:w="100" w:type="nil"/>
            </w:tcMar>
            <w:vAlign w:val="center"/>
          </w:tcPr>
          <w:p w14:paraId="40063ED9" w14:textId="77777777" w:rsidR="009B537D" w:rsidRPr="00063075" w:rsidRDefault="009B537D" w:rsidP="00270E36">
            <w:pPr>
              <w:autoSpaceDE w:val="0"/>
              <w:autoSpaceDN w:val="0"/>
              <w:adjustRightInd w:val="0"/>
              <w:jc w:val="center"/>
              <w:rPr>
                <w:rFonts w:ascii="Times New Roman" w:hAnsi="Times New Roman"/>
                <w:sz w:val="16"/>
                <w:szCs w:val="16"/>
              </w:rPr>
            </w:pPr>
            <w:r>
              <w:rPr>
                <w:rFonts w:ascii="Times New Roman" w:hAnsi="Times New Roman"/>
                <w:sz w:val="16"/>
                <w:szCs w:val="16"/>
              </w:rPr>
              <w:t>0.0699</w:t>
            </w:r>
          </w:p>
        </w:tc>
        <w:tc>
          <w:tcPr>
            <w:tcW w:w="1728" w:type="dxa"/>
            <w:tcBorders>
              <w:bottom w:val="single" w:sz="4" w:space="0" w:color="auto"/>
            </w:tcBorders>
            <w:tcMar>
              <w:top w:w="100" w:type="nil"/>
              <w:right w:w="100" w:type="nil"/>
            </w:tcMar>
            <w:vAlign w:val="center"/>
          </w:tcPr>
          <w:p w14:paraId="4AA5E74B" w14:textId="77777777" w:rsidR="009B537D" w:rsidRPr="00063075" w:rsidRDefault="009B537D" w:rsidP="00270E36">
            <w:pPr>
              <w:autoSpaceDE w:val="0"/>
              <w:autoSpaceDN w:val="0"/>
              <w:adjustRightInd w:val="0"/>
              <w:jc w:val="center"/>
              <w:rPr>
                <w:rFonts w:ascii="Times New Roman" w:hAnsi="Times New Roman"/>
                <w:sz w:val="16"/>
                <w:szCs w:val="16"/>
              </w:rPr>
            </w:pPr>
            <w:r>
              <w:rPr>
                <w:rFonts w:ascii="Times New Roman" w:hAnsi="Times New Roman"/>
                <w:sz w:val="16"/>
                <w:szCs w:val="16"/>
              </w:rPr>
              <w:t>0.499</w:t>
            </w:r>
          </w:p>
        </w:tc>
        <w:tc>
          <w:tcPr>
            <w:tcW w:w="1728" w:type="dxa"/>
            <w:tcBorders>
              <w:bottom w:val="single" w:sz="4" w:space="0" w:color="auto"/>
            </w:tcBorders>
            <w:tcMar>
              <w:top w:w="100" w:type="nil"/>
              <w:right w:w="100" w:type="nil"/>
            </w:tcMar>
            <w:vAlign w:val="center"/>
          </w:tcPr>
          <w:p w14:paraId="59A707A1" w14:textId="77777777" w:rsidR="009B537D" w:rsidRPr="00063075" w:rsidRDefault="009B537D" w:rsidP="00270E36">
            <w:pPr>
              <w:autoSpaceDE w:val="0"/>
              <w:autoSpaceDN w:val="0"/>
              <w:adjustRightInd w:val="0"/>
              <w:jc w:val="center"/>
              <w:rPr>
                <w:rFonts w:ascii="Times New Roman" w:hAnsi="Times New Roman"/>
                <w:sz w:val="16"/>
                <w:szCs w:val="16"/>
              </w:rPr>
            </w:pPr>
            <w:r>
              <w:rPr>
                <w:rFonts w:ascii="Times New Roman" w:hAnsi="Times New Roman"/>
                <w:sz w:val="16"/>
                <w:szCs w:val="16"/>
              </w:rPr>
              <w:t>0.0751</w:t>
            </w:r>
          </w:p>
        </w:tc>
        <w:tc>
          <w:tcPr>
            <w:tcW w:w="1728" w:type="dxa"/>
            <w:tcBorders>
              <w:bottom w:val="single" w:sz="4" w:space="0" w:color="auto"/>
            </w:tcBorders>
            <w:tcMar>
              <w:top w:w="100" w:type="nil"/>
              <w:right w:w="100" w:type="nil"/>
            </w:tcMar>
            <w:vAlign w:val="center"/>
          </w:tcPr>
          <w:p w14:paraId="77DC8E17" w14:textId="77777777" w:rsidR="009B537D" w:rsidRPr="00063075" w:rsidRDefault="009B537D" w:rsidP="00270E36">
            <w:pPr>
              <w:autoSpaceDE w:val="0"/>
              <w:autoSpaceDN w:val="0"/>
              <w:adjustRightInd w:val="0"/>
              <w:jc w:val="center"/>
              <w:rPr>
                <w:rFonts w:ascii="Times New Roman" w:hAnsi="Times New Roman"/>
                <w:sz w:val="16"/>
                <w:szCs w:val="16"/>
              </w:rPr>
            </w:pPr>
            <w:r>
              <w:rPr>
                <w:rFonts w:ascii="Times New Roman" w:hAnsi="Times New Roman"/>
                <w:sz w:val="16"/>
                <w:szCs w:val="16"/>
              </w:rPr>
              <w:t>0.576</w:t>
            </w:r>
          </w:p>
        </w:tc>
      </w:tr>
      <w:tr w:rsidR="009B537D" w:rsidRPr="00063075" w14:paraId="70BC5434" w14:textId="77777777" w:rsidTr="00270E36">
        <w:tc>
          <w:tcPr>
            <w:tcW w:w="1836" w:type="dxa"/>
            <w:tcBorders>
              <w:top w:val="single" w:sz="4" w:space="0" w:color="auto"/>
            </w:tcBorders>
            <w:tcMar>
              <w:top w:w="100" w:type="nil"/>
              <w:right w:w="100" w:type="nil"/>
            </w:tcMar>
            <w:vAlign w:val="center"/>
          </w:tcPr>
          <w:p w14:paraId="4442A51C" w14:textId="77777777" w:rsidR="009B537D" w:rsidRPr="00063075" w:rsidRDefault="009B537D" w:rsidP="00270E36">
            <w:pPr>
              <w:autoSpaceDE w:val="0"/>
              <w:autoSpaceDN w:val="0"/>
              <w:adjustRightInd w:val="0"/>
              <w:rPr>
                <w:rFonts w:ascii="Times New Roman" w:hAnsi="Times New Roman"/>
                <w:i/>
                <w:iCs/>
                <w:sz w:val="16"/>
                <w:szCs w:val="16"/>
              </w:rPr>
            </w:pPr>
          </w:p>
        </w:tc>
        <w:tc>
          <w:tcPr>
            <w:tcW w:w="1728" w:type="dxa"/>
            <w:tcBorders>
              <w:top w:val="single" w:sz="4" w:space="0" w:color="auto"/>
            </w:tcBorders>
            <w:tcMar>
              <w:top w:w="100" w:type="nil"/>
              <w:right w:w="100" w:type="nil"/>
            </w:tcMar>
            <w:vAlign w:val="center"/>
          </w:tcPr>
          <w:p w14:paraId="4BC4FDD6"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Borders>
              <w:top w:val="single" w:sz="4" w:space="0" w:color="auto"/>
            </w:tcBorders>
            <w:tcMar>
              <w:top w:w="100" w:type="nil"/>
              <w:right w:w="100" w:type="nil"/>
            </w:tcMar>
            <w:vAlign w:val="center"/>
          </w:tcPr>
          <w:p w14:paraId="5F4ACC56"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Borders>
              <w:top w:val="single" w:sz="4" w:space="0" w:color="auto"/>
            </w:tcBorders>
            <w:tcMar>
              <w:top w:w="100" w:type="nil"/>
              <w:right w:w="100" w:type="nil"/>
            </w:tcMar>
            <w:vAlign w:val="center"/>
          </w:tcPr>
          <w:p w14:paraId="538DF807" w14:textId="77777777" w:rsidR="009B537D" w:rsidRPr="00063075" w:rsidRDefault="009B537D" w:rsidP="00270E36">
            <w:pPr>
              <w:autoSpaceDE w:val="0"/>
              <w:autoSpaceDN w:val="0"/>
              <w:adjustRightInd w:val="0"/>
              <w:jc w:val="center"/>
              <w:rPr>
                <w:rFonts w:ascii="Times New Roman" w:hAnsi="Times New Roman"/>
                <w:sz w:val="16"/>
                <w:szCs w:val="16"/>
              </w:rPr>
            </w:pPr>
          </w:p>
        </w:tc>
        <w:tc>
          <w:tcPr>
            <w:tcW w:w="1728" w:type="dxa"/>
            <w:tcBorders>
              <w:top w:val="single" w:sz="4" w:space="0" w:color="auto"/>
            </w:tcBorders>
            <w:tcMar>
              <w:top w:w="100" w:type="nil"/>
              <w:right w:w="100" w:type="nil"/>
            </w:tcMar>
            <w:vAlign w:val="center"/>
          </w:tcPr>
          <w:p w14:paraId="0870F6E5" w14:textId="77777777" w:rsidR="009B537D" w:rsidRPr="00063075" w:rsidRDefault="009B537D" w:rsidP="00270E36">
            <w:pPr>
              <w:autoSpaceDE w:val="0"/>
              <w:autoSpaceDN w:val="0"/>
              <w:adjustRightInd w:val="0"/>
              <w:jc w:val="center"/>
              <w:rPr>
                <w:rFonts w:ascii="Times New Roman" w:hAnsi="Times New Roman"/>
                <w:sz w:val="16"/>
                <w:szCs w:val="16"/>
              </w:rPr>
            </w:pPr>
          </w:p>
        </w:tc>
      </w:tr>
    </w:tbl>
    <w:p w14:paraId="1E355C9F" w14:textId="77777777" w:rsidR="00E35309" w:rsidRPr="006A37CF" w:rsidRDefault="00E35309" w:rsidP="00E35309">
      <w:pPr>
        <w:autoSpaceDE w:val="0"/>
        <w:autoSpaceDN w:val="0"/>
        <w:adjustRightInd w:val="0"/>
        <w:ind w:firstLine="0"/>
        <w:rPr>
          <w:rFonts w:ascii="Times New Roman" w:hAnsi="Times New Roman"/>
          <w:sz w:val="16"/>
          <w:szCs w:val="16"/>
        </w:rPr>
      </w:pPr>
      <w:r w:rsidRPr="006A37CF">
        <w:rPr>
          <w:rFonts w:ascii="Times New Roman" w:hAnsi="Times New Roman"/>
          <w:sz w:val="16"/>
          <w:szCs w:val="16"/>
        </w:rPr>
        <w:t xml:space="preserve">Standard errors in parentheses. Standard errors clustered by judge in Models </w:t>
      </w:r>
      <w:r>
        <w:rPr>
          <w:rFonts w:ascii="Times New Roman" w:hAnsi="Times New Roman"/>
          <w:sz w:val="16"/>
          <w:szCs w:val="16"/>
        </w:rPr>
        <w:t>3</w:t>
      </w:r>
      <w:r w:rsidRPr="006A37CF">
        <w:rPr>
          <w:rFonts w:ascii="Times New Roman" w:hAnsi="Times New Roman"/>
          <w:sz w:val="16"/>
          <w:szCs w:val="16"/>
        </w:rPr>
        <w:t xml:space="preserve"> and </w:t>
      </w:r>
      <w:r>
        <w:rPr>
          <w:rFonts w:ascii="Times New Roman" w:hAnsi="Times New Roman"/>
          <w:sz w:val="16"/>
          <w:szCs w:val="16"/>
        </w:rPr>
        <w:t>5</w:t>
      </w:r>
      <w:r w:rsidRPr="006A37CF">
        <w:rPr>
          <w:rFonts w:ascii="Times New Roman" w:hAnsi="Times New Roman"/>
          <w:sz w:val="16"/>
          <w:szCs w:val="16"/>
        </w:rPr>
        <w:t xml:space="preserve"> and by case in Models </w:t>
      </w:r>
      <w:r>
        <w:rPr>
          <w:rFonts w:ascii="Times New Roman" w:hAnsi="Times New Roman"/>
          <w:sz w:val="16"/>
          <w:szCs w:val="16"/>
        </w:rPr>
        <w:t xml:space="preserve">4 </w:t>
      </w:r>
      <w:r w:rsidRPr="006A37CF">
        <w:rPr>
          <w:rFonts w:ascii="Times New Roman" w:hAnsi="Times New Roman"/>
          <w:sz w:val="16"/>
          <w:szCs w:val="16"/>
        </w:rPr>
        <w:t xml:space="preserve">and </w:t>
      </w:r>
      <w:r>
        <w:rPr>
          <w:rFonts w:ascii="Times New Roman" w:hAnsi="Times New Roman"/>
          <w:sz w:val="16"/>
          <w:szCs w:val="16"/>
        </w:rPr>
        <w:t>6</w:t>
      </w:r>
      <w:r w:rsidRPr="006A37CF">
        <w:rPr>
          <w:rFonts w:ascii="Times New Roman" w:hAnsi="Times New Roman"/>
          <w:sz w:val="16"/>
          <w:szCs w:val="16"/>
        </w:rPr>
        <w:t>.</w:t>
      </w:r>
    </w:p>
    <w:p w14:paraId="002EF351" w14:textId="77777777" w:rsidR="00E35309" w:rsidRPr="006A37CF" w:rsidRDefault="00E35309" w:rsidP="00E35309">
      <w:pPr>
        <w:autoSpaceDE w:val="0"/>
        <w:autoSpaceDN w:val="0"/>
        <w:adjustRightInd w:val="0"/>
        <w:ind w:firstLine="0"/>
        <w:rPr>
          <w:rFonts w:ascii="Times New Roman" w:hAnsi="Times New Roman"/>
          <w:sz w:val="16"/>
          <w:szCs w:val="16"/>
        </w:rPr>
      </w:pPr>
      <w:r w:rsidRPr="006A37CF">
        <w:rPr>
          <w:rFonts w:ascii="Times New Roman" w:hAnsi="Times New Roman"/>
          <w:sz w:val="16"/>
          <w:szCs w:val="16"/>
          <w:vertAlign w:val="superscript"/>
        </w:rPr>
        <w:t>*</w:t>
      </w:r>
      <w:r w:rsidRPr="006A37CF">
        <w:rPr>
          <w:rFonts w:ascii="Times New Roman" w:hAnsi="Times New Roman"/>
          <w:sz w:val="16"/>
          <w:szCs w:val="16"/>
        </w:rPr>
        <w:t xml:space="preserve"> </w:t>
      </w:r>
      <w:r w:rsidRPr="006A37CF">
        <w:rPr>
          <w:rFonts w:ascii="Times New Roman" w:hAnsi="Times New Roman"/>
          <w:i/>
          <w:iCs/>
          <w:sz w:val="16"/>
          <w:szCs w:val="16"/>
        </w:rPr>
        <w:t>p</w:t>
      </w:r>
      <w:r w:rsidRPr="006A37CF">
        <w:rPr>
          <w:rFonts w:ascii="Times New Roman" w:hAnsi="Times New Roman"/>
          <w:sz w:val="16"/>
          <w:szCs w:val="16"/>
        </w:rPr>
        <w:t xml:space="preserve"> &lt; 0.05, </w:t>
      </w:r>
      <w:r w:rsidRPr="006A37CF">
        <w:rPr>
          <w:rFonts w:ascii="Times New Roman" w:hAnsi="Times New Roman"/>
          <w:sz w:val="16"/>
          <w:szCs w:val="16"/>
          <w:vertAlign w:val="superscript"/>
        </w:rPr>
        <w:t>**</w:t>
      </w:r>
      <w:r w:rsidRPr="006A37CF">
        <w:rPr>
          <w:rFonts w:ascii="Times New Roman" w:hAnsi="Times New Roman"/>
          <w:sz w:val="16"/>
          <w:szCs w:val="16"/>
        </w:rPr>
        <w:t xml:space="preserve"> </w:t>
      </w:r>
      <w:r w:rsidRPr="006A37CF">
        <w:rPr>
          <w:rFonts w:ascii="Times New Roman" w:hAnsi="Times New Roman"/>
          <w:i/>
          <w:iCs/>
          <w:sz w:val="16"/>
          <w:szCs w:val="16"/>
        </w:rPr>
        <w:t>p</w:t>
      </w:r>
      <w:r w:rsidRPr="006A37CF">
        <w:rPr>
          <w:rFonts w:ascii="Times New Roman" w:hAnsi="Times New Roman"/>
          <w:sz w:val="16"/>
          <w:szCs w:val="16"/>
        </w:rPr>
        <w:t xml:space="preserve"> &lt; 0.01, </w:t>
      </w:r>
      <w:r w:rsidRPr="006A37CF">
        <w:rPr>
          <w:rFonts w:ascii="Times New Roman" w:hAnsi="Times New Roman"/>
          <w:sz w:val="16"/>
          <w:szCs w:val="16"/>
          <w:vertAlign w:val="superscript"/>
        </w:rPr>
        <w:t>***</w:t>
      </w:r>
      <w:r w:rsidRPr="006A37CF">
        <w:rPr>
          <w:rFonts w:ascii="Times New Roman" w:hAnsi="Times New Roman"/>
          <w:sz w:val="16"/>
          <w:szCs w:val="16"/>
        </w:rPr>
        <w:t xml:space="preserve"> </w:t>
      </w:r>
      <w:r w:rsidRPr="006A37CF">
        <w:rPr>
          <w:rFonts w:ascii="Times New Roman" w:hAnsi="Times New Roman"/>
          <w:i/>
          <w:iCs/>
          <w:sz w:val="16"/>
          <w:szCs w:val="16"/>
        </w:rPr>
        <w:t>p</w:t>
      </w:r>
      <w:r w:rsidRPr="006A37CF">
        <w:rPr>
          <w:rFonts w:ascii="Times New Roman" w:hAnsi="Times New Roman"/>
          <w:sz w:val="16"/>
          <w:szCs w:val="16"/>
        </w:rPr>
        <w:t xml:space="preserve"> &lt; 0.001</w:t>
      </w:r>
    </w:p>
    <w:p w14:paraId="1FD1FDE3" w14:textId="77777777" w:rsidR="00ED425B" w:rsidRDefault="00ED425B" w:rsidP="00ED425B">
      <w:pPr>
        <w:ind w:firstLine="0"/>
      </w:pPr>
    </w:p>
    <w:p w14:paraId="5605A702" w14:textId="32C1F792" w:rsidR="00ED425B" w:rsidRDefault="00ED425B" w:rsidP="00ED425B">
      <w:pPr>
        <w:ind w:firstLine="0"/>
      </w:pPr>
      <w:r>
        <w:tab/>
      </w:r>
      <w:r w:rsidR="00E35309">
        <w:t xml:space="preserve">Table 2 presents the logistic regression results for the decision on whether to invalidate the patent in whole or in part (Models 3 and 4), or only </w:t>
      </w:r>
      <w:r w:rsidR="00E35309">
        <w:lastRenderedPageBreak/>
        <w:t xml:space="preserve">in whole (Models 5 and 6), broken down by whether the results apply to just the presiding judge (Models 3 and 5) or all judges (Models 4 and 6). </w:t>
      </w:r>
      <w:r>
        <w:t>Different variables were statistically significant</w:t>
      </w:r>
      <w:r w:rsidR="00E35309">
        <w:t xml:space="preserve"> in Table 2 than Table 1 on the decision to institute</w:t>
      </w:r>
      <w:r>
        <w:t>. All technology categories (not just electrical engineering, mechanical engineering, and transportation/construction/electronics) were more likely to be found invalid compared to the reference category of biotechnology inventions</w:t>
      </w:r>
      <w:r w:rsidR="00AD5E37">
        <w:t xml:space="preserve"> on the decision to invalidate a patent in whole or in part as shown in Models 3 and 4.</w:t>
      </w:r>
      <w:r w:rsidR="00174085">
        <w:t xml:space="preserve"> In regressions where the dependent variable changed to predicting only whether the panel invalidated all the challenged claims, the difference between biotechnology inventions and other categories was lessened, but still remained statistically significant for all categories except computers, transportation, and mechanical patents. </w:t>
      </w:r>
      <w:r w:rsidR="00D567BC">
        <w:t xml:space="preserve">Unlike the decision to institute, only the identity of the patentee was statistically significant. Both presiding judge as well as all judges were more likely to invalidate PAE patents, while the regression on all judges indicated that they were also more likely to invalidate </w:t>
      </w:r>
      <w:r w:rsidR="00CA1304">
        <w:t>NPE</w:t>
      </w:r>
      <w:r w:rsidR="00D567BC">
        <w:t xml:space="preserve"> patents as well.</w:t>
      </w:r>
      <w:r>
        <w:t xml:space="preserve"> </w:t>
      </w:r>
    </w:p>
    <w:p w14:paraId="31E4E4C0" w14:textId="77777777" w:rsidR="00ED425B" w:rsidRDefault="00ED425B" w:rsidP="00ED425B">
      <w:pPr>
        <w:ind w:firstLine="0"/>
      </w:pPr>
    </w:p>
    <w:p w14:paraId="6631CF57" w14:textId="70D9CD3D" w:rsidR="00ED425B" w:rsidRDefault="00ED425B" w:rsidP="00ED425B">
      <w:pPr>
        <w:ind w:firstLine="0"/>
      </w:pPr>
      <w:r>
        <w:tab/>
        <w:t>Hardly any of the presider judge demographic factors were statistically significant, except that presider judges hailing from Texas were less likely to invalidate the patent to a statistically significant degree.</w:t>
      </w:r>
      <w:r w:rsidR="00D5095B">
        <w:t xml:space="preserve"> Location was not significant in any respects for predicting invalidating all claims of the patent by the presiding judge only.</w:t>
      </w:r>
      <w:r>
        <w:t xml:space="preserve"> </w:t>
      </w:r>
      <w:r w:rsidR="00D567BC">
        <w:t xml:space="preserve"> Also, those who previously served as patent examiners were more likely to invalidate patents in whole or in part across all models. </w:t>
      </w:r>
      <w:r w:rsidR="00D5095B">
        <w:t xml:space="preserve">Wordy patents were more likely to be invalidated when looking at all judges and the dependent variable being whether or not all the patent’s claims were invalidated. </w:t>
      </w:r>
      <w:r>
        <w:t>Further, switching the presider judge from the institution phase to the merits phase also matters; Having a new presiding judge results in a lessened chance of the patent’s claims being invalidated at the merits stage</w:t>
      </w:r>
      <w:r w:rsidR="00D567BC">
        <w:t xml:space="preserve"> in all the models presented. </w:t>
      </w:r>
    </w:p>
    <w:p w14:paraId="1282F857" w14:textId="457DDC6D" w:rsidR="00A85065" w:rsidRDefault="00A85065" w:rsidP="00ED425B">
      <w:pPr>
        <w:ind w:firstLine="0"/>
      </w:pPr>
    </w:p>
    <w:p w14:paraId="361D376E" w14:textId="5597AC1E" w:rsidR="00AD1956" w:rsidRDefault="00A85065" w:rsidP="00ED425B">
      <w:pPr>
        <w:ind w:firstLine="0"/>
      </w:pPr>
      <w:r>
        <w:tab/>
        <w:t xml:space="preserve">Overall, the preliminary results based on the presiding judge’s demographics </w:t>
      </w:r>
      <w:r w:rsidR="00E26A86">
        <w:t xml:space="preserve">only </w:t>
      </w:r>
      <w:r>
        <w:t>indicate that decisions about whether to institute and whether to hold the patent invalid in whole or in part likely have more to do with the scientific field of invention, the type of patentee and petitioner, and the particular statutory section challenged</w:t>
      </w:r>
      <w:r w:rsidR="00A80E54">
        <w:t xml:space="preserve">. To the extent PTAB demographics affect decision-making, </w:t>
      </w:r>
      <w:r w:rsidR="00482383">
        <w:t xml:space="preserve">their prior experience as a law firm or PTO lawyer or an examiner as well as their </w:t>
      </w:r>
      <w:r w:rsidR="00A80E54">
        <w:t xml:space="preserve">location in </w:t>
      </w:r>
      <w:r w:rsidR="00482383">
        <w:t>certain</w:t>
      </w:r>
      <w:r w:rsidR="00A80E54">
        <w:t xml:space="preserve"> PTAB</w:t>
      </w:r>
      <w:r w:rsidR="00482383">
        <w:t xml:space="preserve"> branch</w:t>
      </w:r>
      <w:r w:rsidR="00A80E54">
        <w:t xml:space="preserve"> office were the most important demographic factors. </w:t>
      </w:r>
      <w:r w:rsidR="00482383">
        <w:t>T</w:t>
      </w:r>
      <w:r w:rsidR="00A80E54">
        <w:t xml:space="preserve">he fact that the geographic location of the PTAB judge was significant may indicate that geography is simply a proxy for some other understudied variable, such as politics or economic stability of the PTAB judge’s home community which can be further explored. Finally, </w:t>
      </w:r>
      <w:r w:rsidR="00AF160D">
        <w:t xml:space="preserve">the PTO Director’s choice to change the presiding judge </w:t>
      </w:r>
      <w:r w:rsidR="00AF160D">
        <w:lastRenderedPageBreak/>
        <w:t>from the institution phase to the merits phase also results in patents being less likely to be invalidated.</w:t>
      </w:r>
      <w:r w:rsidR="00651E64">
        <w:rPr>
          <w:rStyle w:val="FootnoteReference"/>
        </w:rPr>
        <w:footnoteReference w:id="117"/>
      </w:r>
      <w:r w:rsidR="00AF160D">
        <w:t xml:space="preserve"> </w:t>
      </w:r>
    </w:p>
    <w:p w14:paraId="293BDDF9" w14:textId="135DF16B" w:rsidR="00B86E1B" w:rsidRDefault="00097B1D" w:rsidP="00AC5AD7">
      <w:pPr>
        <w:pStyle w:val="NormalWeb"/>
        <w:numPr>
          <w:ilvl w:val="0"/>
          <w:numId w:val="30"/>
        </w:numPr>
        <w:rPr>
          <w:i/>
          <w:iCs/>
        </w:rPr>
      </w:pPr>
      <w:r w:rsidRPr="00BD0886">
        <w:t xml:space="preserve">Problems Raised by </w:t>
      </w:r>
      <w:r w:rsidRPr="00096926">
        <w:rPr>
          <w:i/>
          <w:iCs/>
        </w:rPr>
        <w:t>Arthrex</w:t>
      </w:r>
      <w:r w:rsidR="00096926">
        <w:rPr>
          <w:i/>
          <w:iCs/>
        </w:rPr>
        <w:t xml:space="preserve"> </w:t>
      </w:r>
      <w:r w:rsidR="00096926" w:rsidRPr="00096926">
        <w:t>and Potential for Reform</w:t>
      </w:r>
    </w:p>
    <w:p w14:paraId="16035411" w14:textId="2562E5DA" w:rsidR="00096926" w:rsidRPr="00096926" w:rsidRDefault="00096926" w:rsidP="00096926">
      <w:pPr>
        <w:pStyle w:val="NormalWeb"/>
        <w:numPr>
          <w:ilvl w:val="0"/>
          <w:numId w:val="45"/>
        </w:numPr>
        <w:rPr>
          <w:i/>
          <w:iCs/>
        </w:rPr>
      </w:pPr>
      <w:r w:rsidRPr="00096926">
        <w:t>Problems Raised by</w:t>
      </w:r>
      <w:r>
        <w:rPr>
          <w:i/>
          <w:iCs/>
        </w:rPr>
        <w:t xml:space="preserve"> </w:t>
      </w:r>
      <w:proofErr w:type="gramStart"/>
      <w:r>
        <w:rPr>
          <w:i/>
          <w:iCs/>
        </w:rPr>
        <w:t xml:space="preserve">Arthrex </w:t>
      </w:r>
      <w:r>
        <w:t xml:space="preserve"> and</w:t>
      </w:r>
      <w:proofErr w:type="gramEnd"/>
      <w:r>
        <w:t xml:space="preserve"> the PTAB’s Structure</w:t>
      </w:r>
    </w:p>
    <w:p w14:paraId="6BAEED81" w14:textId="1B5335D3" w:rsidR="00321286" w:rsidRPr="00BD0886" w:rsidRDefault="00B86E1B" w:rsidP="003F5F10">
      <w:pPr>
        <w:pStyle w:val="NormalWeb"/>
        <w:ind w:firstLine="720"/>
      </w:pPr>
      <w:r w:rsidRPr="00BD0886">
        <w:t xml:space="preserve">The Supreme Court’s opinion in </w:t>
      </w:r>
      <w:r w:rsidRPr="00096926">
        <w:rPr>
          <w:i/>
          <w:iCs/>
        </w:rPr>
        <w:t>Arthrex</w:t>
      </w:r>
      <w:r w:rsidRPr="00BD0886">
        <w:t xml:space="preserve"> opens up a Pandora’s box of potential issues. </w:t>
      </w:r>
      <w:r w:rsidR="00A507DB" w:rsidRPr="00096926">
        <w:rPr>
          <w:i/>
          <w:iCs/>
        </w:rPr>
        <w:t>Arthrex</w:t>
      </w:r>
      <w:r w:rsidR="00A507DB" w:rsidRPr="00BD0886">
        <w:t xml:space="preserve"> cleaned up the constitutional problems with the PTAB’s adjudicatory mechanism by giving the Director the power to exercise her discretion to review IPR decisions. </w:t>
      </w:r>
      <w:r w:rsidR="00321286" w:rsidRPr="00BD0886">
        <w:t>But h</w:t>
      </w:r>
      <w:r w:rsidR="00A507DB" w:rsidRPr="00BD0886">
        <w:t xml:space="preserve">ow this works in practice is another matter. </w:t>
      </w:r>
    </w:p>
    <w:p w14:paraId="3203266C" w14:textId="69B632A6" w:rsidR="0092292A" w:rsidRPr="00BD0886" w:rsidRDefault="003F5D68" w:rsidP="003F5F10">
      <w:pPr>
        <w:pStyle w:val="NormalWeb"/>
        <w:ind w:firstLine="720"/>
      </w:pPr>
      <w:r>
        <w:t>As a practical matter, discretionary review by the PTO Director would yield only cursory review</w:t>
      </w:r>
      <w:r w:rsidR="00E26A86">
        <w:t xml:space="preserve"> especially if everyone files for rehear and there are no clear mechanisms in place to cabin this parade of </w:t>
      </w:r>
      <w:proofErr w:type="spellStart"/>
      <w:r w:rsidR="00E26A86">
        <w:t>rehearings</w:t>
      </w:r>
      <w:proofErr w:type="spellEnd"/>
      <w:r>
        <w:t xml:space="preserve">. </w:t>
      </w:r>
      <w:r w:rsidR="0063524A" w:rsidRPr="00BD0886">
        <w:t xml:space="preserve">Each PTAB </w:t>
      </w:r>
      <w:r w:rsidR="00321286" w:rsidRPr="00BD0886">
        <w:t>panel</w:t>
      </w:r>
      <w:r w:rsidR="0063524A" w:rsidRPr="00BD0886">
        <w:t xml:space="preserve"> </w:t>
      </w:r>
      <w:r w:rsidR="00321286" w:rsidRPr="00BD0886">
        <w:t>issues</w:t>
      </w:r>
      <w:r w:rsidR="0063524A" w:rsidRPr="00BD0886">
        <w:t xml:space="preserve"> a written decision on the merits, with many of these decisions approaching 40 or 50 pages in length</w:t>
      </w:r>
      <w:r w:rsidR="00A507DB" w:rsidRPr="00BD0886">
        <w:t>, with a detailed description of the technology at issue</w:t>
      </w:r>
      <w:r w:rsidR="0063524A" w:rsidRPr="00BD0886">
        <w:t>. The panels often extensively cite to expert reports on the technology in question</w:t>
      </w:r>
      <w:r w:rsidR="00A507DB" w:rsidRPr="00BD0886">
        <w:t xml:space="preserve">. </w:t>
      </w:r>
      <w:r w:rsidR="00CD3DFF">
        <w:t xml:space="preserve">Both sides usually have expert witnesses, with expert affidavits to analyze. </w:t>
      </w:r>
      <w:r w:rsidR="00A507DB" w:rsidRPr="00BD0886">
        <w:t>The panel must then look at the claims of the patent, construe the claims, and make a judgment on whether or not the asserted claims should be invalidated. To do so, the panel must often address a number of ancillary questions. For instance, in many cases, the panel must resolve whether something should even be considered prior art.</w:t>
      </w:r>
      <w:r w:rsidR="0092292A" w:rsidRPr="00BD0886">
        <w:t xml:space="preserve"> The </w:t>
      </w:r>
      <w:r w:rsidR="00FF56B6" w:rsidRPr="00BD0886">
        <w:t>petitioner</w:t>
      </w:r>
      <w:r w:rsidR="0092292A" w:rsidRPr="00BD0886">
        <w:t xml:space="preserve"> could argue that the patent claim at issue should be invalidated because Art #1 in combination with Art #2 would make the invention obvious to a person of ordinary skill in the art. But the first question to ask is evidentiary, that is, is Art #1 the type of documentary prior art that a PTAB can consider in deciding whether to invalidate a patent’s claims?</w:t>
      </w:r>
      <w:r w:rsidR="00A507DB" w:rsidRPr="00BD0886">
        <w:t xml:space="preserve"> </w:t>
      </w:r>
      <w:r w:rsidR="0092292A" w:rsidRPr="00BD0886">
        <w:t xml:space="preserve">In </w:t>
      </w:r>
      <w:proofErr w:type="gramStart"/>
      <w:r w:rsidR="0092292A" w:rsidRPr="00BD0886">
        <w:t>essence ,w</w:t>
      </w:r>
      <w:r w:rsidR="00A507DB" w:rsidRPr="00BD0886">
        <w:t>hat</w:t>
      </w:r>
      <w:proofErr w:type="gramEnd"/>
      <w:r w:rsidR="00A507DB" w:rsidRPr="00BD0886">
        <w:t xml:space="preserve"> counts as “documentary” prior art has historically been hotly contested in patent litigation, with the Internet-age opening up even more questions. For example, does a conference presentation in a foreign country where the purported inventor simply shows a few slides without much detail count as a “printed publication” sufficient to even be considered prior art? Such issues are often fact-intensive inquiries</w:t>
      </w:r>
      <w:r w:rsidR="00321286" w:rsidRPr="00BD0886">
        <w:t xml:space="preserve"> and these issues need to be addressed before even getting to the more mixed question of law and fact concerning whether that art invalidates the claims of the patent. </w:t>
      </w:r>
    </w:p>
    <w:p w14:paraId="60DCDD21" w14:textId="627E973F" w:rsidR="00B86E1B" w:rsidRPr="00BD0886" w:rsidRDefault="0092292A" w:rsidP="00CD3DFF">
      <w:pPr>
        <w:pStyle w:val="NormalWeb"/>
        <w:ind w:firstLine="720"/>
      </w:pPr>
      <w:r w:rsidRPr="00BD0886">
        <w:lastRenderedPageBreak/>
        <w:t>Yet e</w:t>
      </w:r>
      <w:r w:rsidR="00A507DB" w:rsidRPr="00BD0886">
        <w:t xml:space="preserve">ven if one resolves whether something is art, the panel must then determine whether or not that art </w:t>
      </w:r>
      <w:r w:rsidRPr="00BD0886">
        <w:t xml:space="preserve">even </w:t>
      </w:r>
      <w:r w:rsidR="00A507DB" w:rsidRPr="00BD0886">
        <w:t>anticipates or make obvious the claimed invention. This inquiry too is also not straightforward</w:t>
      </w:r>
      <w:r w:rsidRPr="00BD0886">
        <w:t xml:space="preserve"> or an inquiry lacking in mixed questions of law and facts</w:t>
      </w:r>
      <w:r w:rsidR="00A507DB" w:rsidRPr="00BD0886">
        <w:t>. Not only must the panel construe what the claims of the patent mean but they must also analyze the scientific merits of the prior art itself</w:t>
      </w:r>
      <w:r w:rsidR="008A07CE" w:rsidRPr="00BD0886">
        <w:t>. Panels do not do this in a vacuum. They are often assisted by the affidavits of expert witnesses, which are sent in by both the patentee and the petit</w:t>
      </w:r>
      <w:r w:rsidR="00340759">
        <w:t>ioner</w:t>
      </w:r>
      <w:r w:rsidR="008A07CE" w:rsidRPr="00BD0886">
        <w:t>, with the panel having to make a judgment over which expert they find more credible</w:t>
      </w:r>
      <w:r w:rsidRPr="00BD0886">
        <w:t>, all done over paper</w:t>
      </w:r>
      <w:r w:rsidR="009C521B" w:rsidRPr="00BD0886">
        <w:t xml:space="preserve"> </w:t>
      </w:r>
      <w:r w:rsidR="00321286" w:rsidRPr="00BD0886">
        <w:t xml:space="preserve">and an oral hearing. </w:t>
      </w:r>
      <w:r w:rsidR="008A07CE" w:rsidRPr="00BD0886">
        <w:t xml:space="preserve">While some PTAB judges may have a scientific background that mirrors the technology of the invention, in most cases, they do not. Moreover, even if a PTAB judge has a biology degree from college, it is unlikely they would know the ins and outs of detailed biological inventions, let alone inventions from the mechanical, electrical, and computer arts. </w:t>
      </w:r>
      <w:r w:rsidRPr="00BD0886">
        <w:t xml:space="preserve">It takes a significant amount of work for a PTAB panel of three judges assisted by law clerks to judge a single decision. </w:t>
      </w:r>
      <w:r w:rsidRPr="00340759">
        <w:rPr>
          <w:i/>
          <w:iCs/>
        </w:rPr>
        <w:t>Arthrex</w:t>
      </w:r>
      <w:r w:rsidRPr="00BD0886">
        <w:t xml:space="preserve"> now opens up the door for a single person- the PTO Director – to now have the power to redo all these painstaking time-consuming decisions.</w:t>
      </w:r>
      <w:r w:rsidR="003E08BA" w:rsidRPr="00BD0886">
        <w:rPr>
          <w:rStyle w:val="FootnoteReference"/>
        </w:rPr>
        <w:footnoteReference w:id="118"/>
      </w:r>
      <w:r w:rsidR="001451D4" w:rsidRPr="00BD0886">
        <w:t xml:space="preserve"> As such, given the great amount of work it takes to delve into a single case makes the rehearing attribute of the </w:t>
      </w:r>
      <w:r w:rsidR="001451D4" w:rsidRPr="00340759">
        <w:rPr>
          <w:i/>
          <w:iCs/>
        </w:rPr>
        <w:t>Arthrex</w:t>
      </w:r>
      <w:r w:rsidR="001451D4" w:rsidRPr="00BD0886">
        <w:t xml:space="preserve"> decision impractical</w:t>
      </w:r>
      <w:r w:rsidR="00822F41">
        <w:t xml:space="preserve"> to give such an awesome responsibility to the Director.</w:t>
      </w:r>
      <w:r w:rsidR="00CD3DFF">
        <w:t xml:space="preserve"> Indeed, the point of this paragraph thus is to illustrate the great deal of work and expertise required to analyze a single IPR case, let alone thousands. </w:t>
      </w:r>
      <w:r w:rsidR="00593892">
        <w:t xml:space="preserve">As a practical matter, unless the Director sets up a more streamlined process, she can at best rely only on proxies to make decisions on </w:t>
      </w:r>
      <w:proofErr w:type="spellStart"/>
      <w:r w:rsidR="00593892">
        <w:t>rehearings</w:t>
      </w:r>
      <w:proofErr w:type="spellEnd"/>
      <w:r w:rsidR="00593892">
        <w:t xml:space="preserve">. </w:t>
      </w:r>
    </w:p>
    <w:p w14:paraId="54B821A3" w14:textId="77777777" w:rsidR="008342F0" w:rsidRDefault="00EF6239" w:rsidP="008342F0">
      <w:pPr>
        <w:pStyle w:val="NormalWeb"/>
        <w:ind w:firstLine="720"/>
      </w:pPr>
      <w:r w:rsidRPr="00BD0886">
        <w:t>Further, g</w:t>
      </w:r>
      <w:r w:rsidR="003C5991" w:rsidRPr="00BD0886">
        <w:t>iving so much power to one person will have a multitude of effects.</w:t>
      </w:r>
      <w:r w:rsidR="00D21FCA" w:rsidRPr="00BD0886">
        <w:rPr>
          <w:rStyle w:val="FootnoteReference"/>
        </w:rPr>
        <w:footnoteReference w:id="119"/>
      </w:r>
      <w:r w:rsidR="003C5991" w:rsidRPr="00BD0886">
        <w:t xml:space="preserve"> One of the chief benefits taunted by proponents of the PTAB was its ease of use, its statutory deadlines ensuring timely resolution of a case, and the ability for a validity determination to at least be decided by decision-makers that have some scientific expertise. </w:t>
      </w:r>
      <w:r w:rsidR="003E08BA" w:rsidRPr="00BD0886">
        <w:t>Given</w:t>
      </w:r>
      <w:r w:rsidR="003C5991" w:rsidRPr="00BD0886">
        <w:t xml:space="preserve"> that the Director has the power to </w:t>
      </w:r>
      <w:r w:rsidR="003E08BA" w:rsidRPr="00BD0886">
        <w:t xml:space="preserve">reopen cases now, the timeline for PTAB decisions will only lengthen, with no decision under 35 U.S.C. Section 318(a) being truly final until the Director has the opportunity to review and finalize a decision. </w:t>
      </w:r>
      <w:r w:rsidRPr="00BD0886">
        <w:t xml:space="preserve">Unlike the clear 18-month time frame that made an IPR an attractive option </w:t>
      </w:r>
      <w:r w:rsidRPr="00BD0886">
        <w:lastRenderedPageBreak/>
        <w:t xml:space="preserve">for those seeking a speedy resolution of validity issues, the fact that the Director now potentially can rehear hundred, if not thousands, of petitioners, </w:t>
      </w:r>
      <w:proofErr w:type="spellStart"/>
      <w:r w:rsidRPr="00BD0886">
        <w:t>wrecks havoc</w:t>
      </w:r>
      <w:proofErr w:type="spellEnd"/>
      <w:r w:rsidRPr="00BD0886">
        <w:t xml:space="preserve"> on the process. </w:t>
      </w:r>
      <w:r w:rsidR="00593892">
        <w:t xml:space="preserve">This is true even if the Director sets up an intermediate panel or has another way to cabin the number of </w:t>
      </w:r>
      <w:proofErr w:type="spellStart"/>
      <w:r w:rsidR="00593892">
        <w:t>rehearings</w:t>
      </w:r>
      <w:proofErr w:type="spellEnd"/>
      <w:r w:rsidR="00593892">
        <w:t xml:space="preserve">. </w:t>
      </w:r>
    </w:p>
    <w:p w14:paraId="0E17627E" w14:textId="1AC00CCF" w:rsidR="00EF6239" w:rsidRPr="00BD0886" w:rsidRDefault="00297488" w:rsidP="008342F0">
      <w:pPr>
        <w:pStyle w:val="NormalWeb"/>
        <w:ind w:firstLine="720"/>
      </w:pPr>
      <w:r w:rsidRPr="00BD0886">
        <w:br/>
      </w:r>
      <w:r w:rsidRPr="00BD0886">
        <w:tab/>
        <w:t>Even more concerning, however, is the increased opportunity for politicization of the PTAB</w:t>
      </w:r>
      <w:r w:rsidR="00D21FCA" w:rsidRPr="00BD0886">
        <w:t xml:space="preserve">-perhaps in a more direct </w:t>
      </w:r>
      <w:r w:rsidR="00EF6239" w:rsidRPr="00BD0886">
        <w:t xml:space="preserve">and transparent </w:t>
      </w:r>
      <w:r w:rsidR="00D21FCA" w:rsidRPr="00BD0886">
        <w:t>way than any other administrative agency</w:t>
      </w:r>
      <w:r w:rsidRPr="00BD0886">
        <w:t xml:space="preserve">. No doubt decisions of administrative adjudicators are tainted by politics by design. </w:t>
      </w:r>
      <w:r w:rsidR="003D6603" w:rsidRPr="00BD0886">
        <w:t>Scholars have long found that decisions in other administrative agencies, such as the National Labor Relations Board, or the immigration courts, are influenced by the current executive in power.</w:t>
      </w:r>
      <w:r w:rsidR="003F5D68">
        <w:rPr>
          <w:rStyle w:val="FootnoteReference"/>
        </w:rPr>
        <w:footnoteReference w:id="120"/>
      </w:r>
      <w:r w:rsidR="003D6603" w:rsidRPr="00BD0886">
        <w:t xml:space="preserve"> This is purposeful to ensure democratic accountability. Intellectual property law, particularly patent law, has not been in the same politicized light as labor or immigration law, however.</w:t>
      </w:r>
      <w:r w:rsidR="001322B7" w:rsidRPr="00BD0886">
        <w:rPr>
          <w:rStyle w:val="FootnoteReference"/>
        </w:rPr>
        <w:footnoteReference w:id="121"/>
      </w:r>
      <w:r w:rsidR="003D6603" w:rsidRPr="00BD0886">
        <w:t xml:space="preserve"> </w:t>
      </w:r>
      <w:r w:rsidR="00661941" w:rsidRPr="00BD0886">
        <w:t xml:space="preserve">The Court’s decision in </w:t>
      </w:r>
      <w:r w:rsidR="00661941" w:rsidRPr="00340759">
        <w:rPr>
          <w:i/>
          <w:iCs/>
        </w:rPr>
        <w:t>Arthrex</w:t>
      </w:r>
      <w:r w:rsidR="003D6603" w:rsidRPr="00BD0886">
        <w:t xml:space="preserve"> now opens the box for political considerations to have a much more </w:t>
      </w:r>
      <w:r w:rsidR="00661941" w:rsidRPr="00BD0886">
        <w:t>visible role to play in how cases are adjudicated at the PTAB, especially given that the politically appointed Director of the PTO has the sole and unfettered discretion to</w:t>
      </w:r>
      <w:r w:rsidR="000C159F" w:rsidRPr="00BD0886">
        <w:t xml:space="preserve"> unilaterally overturn the decision of three other judges. This vacuum was noted by Justice Gorsuch in his dissent in </w:t>
      </w:r>
      <w:r w:rsidR="000C159F" w:rsidRPr="00700AF3">
        <w:rPr>
          <w:i/>
          <w:iCs/>
        </w:rPr>
        <w:t>Arthrex</w:t>
      </w:r>
      <w:r w:rsidR="000C159F" w:rsidRPr="00BD0886">
        <w:t xml:space="preserve"> where he notes that there is now a real risk that the Director would be either politically motivated or perceived to be politically motivated to invalidate certain patents.</w:t>
      </w:r>
      <w:r w:rsidR="00333757" w:rsidRPr="00BD0886">
        <w:rPr>
          <w:rStyle w:val="FootnoteReference"/>
        </w:rPr>
        <w:footnoteReference w:id="122"/>
      </w:r>
      <w:r w:rsidR="000C159F" w:rsidRPr="00BD0886">
        <w:t xml:space="preserve"> </w:t>
      </w:r>
      <w:r w:rsidR="00CD5C2F" w:rsidRPr="00BD0886">
        <w:t>Gorsuch also notes the potential that “lobbyists” can now have a newfound role in influencing the administrative state.</w:t>
      </w:r>
      <w:r w:rsidR="00CD5C2F" w:rsidRPr="00BD0886">
        <w:rPr>
          <w:rStyle w:val="FootnoteReference"/>
        </w:rPr>
        <w:footnoteReference w:id="123"/>
      </w:r>
      <w:r w:rsidR="00CD5C2F" w:rsidRPr="00BD0886">
        <w:t xml:space="preserve"> </w:t>
      </w:r>
      <w:r w:rsidR="000C159F" w:rsidRPr="00BD0886">
        <w:t>Indeed, there may now be a real risk that the PTO Director may be able to employ the patent laws to more easily rein in monopolies that may best be entrusted to antitrust laws. For example, one could for</w:t>
      </w:r>
      <w:r w:rsidR="00000485" w:rsidRPr="00BD0886">
        <w:t>e</w:t>
      </w:r>
      <w:r w:rsidR="000C159F" w:rsidRPr="00BD0886">
        <w:t xml:space="preserve">see a situation where the PTO Director involves herself in rehearing cases involving patents from social media companies or </w:t>
      </w:r>
      <w:proofErr w:type="gramStart"/>
      <w:r w:rsidR="000C159F" w:rsidRPr="00BD0886">
        <w:t>Amazon</w:t>
      </w:r>
      <w:r w:rsidR="00333757" w:rsidRPr="00BD0886">
        <w:t xml:space="preserve">  as</w:t>
      </w:r>
      <w:proofErr w:type="gramEnd"/>
      <w:r w:rsidR="00333757" w:rsidRPr="00BD0886">
        <w:t xml:space="preserve"> a backdoor way of attacking the social media and online </w:t>
      </w:r>
      <w:r w:rsidR="00333757" w:rsidRPr="00BD0886">
        <w:lastRenderedPageBreak/>
        <w:t>shopping companies outside of the antitrust laws</w:t>
      </w:r>
      <w:r w:rsidR="000C159F" w:rsidRPr="00BD0886">
        <w:t>. Or perhaps, given limited time and resources, the PTO Director could exercise a more direct role in pharmaceutical</w:t>
      </w:r>
      <w:r w:rsidR="00B755DE">
        <w:t>s</w:t>
      </w:r>
      <w:r w:rsidR="000C159F" w:rsidRPr="00BD0886">
        <w:t xml:space="preserve"> </w:t>
      </w:r>
      <w:r w:rsidR="00333757" w:rsidRPr="00BD0886">
        <w:t>to reopen PTAB trials involving covid-19 vaccines and treatments in the name of public health</w:t>
      </w:r>
      <w:r w:rsidR="000C159F" w:rsidRPr="00BD0886">
        <w:t>.</w:t>
      </w:r>
      <w:r w:rsidR="00333757" w:rsidRPr="00BD0886">
        <w:rPr>
          <w:rStyle w:val="FootnoteReference"/>
        </w:rPr>
        <w:footnoteReference w:id="124"/>
      </w:r>
      <w:r w:rsidR="000C159F" w:rsidRPr="00BD0886">
        <w:t xml:space="preserve"> </w:t>
      </w:r>
      <w:r w:rsidR="00000485" w:rsidRPr="00BD0886">
        <w:t>The lack of clear</w:t>
      </w:r>
      <w:r w:rsidR="000C159F" w:rsidRPr="00BD0886">
        <w:t xml:space="preserve"> direction on how the Director can </w:t>
      </w:r>
      <w:r w:rsidR="00000485" w:rsidRPr="00BD0886">
        <w:t xml:space="preserve">actually </w:t>
      </w:r>
      <w:r w:rsidR="000C159F" w:rsidRPr="00BD0886">
        <w:t>exercise this discretion</w:t>
      </w:r>
      <w:r w:rsidR="00000485" w:rsidRPr="00BD0886">
        <w:t xml:space="preserve"> opens up the real possibility for abuse and for selective use of the PTAB system to invalidate certain patents. </w:t>
      </w:r>
      <w:r w:rsidR="00EF6239" w:rsidRPr="00BD0886">
        <w:t xml:space="preserve">Thus far, the very few cases where a rehearing has been granted have largely relied on procedural reasons, and to the extent that “higher ups” got involved was to issue more direct policy guidelines on things like motions to amend. However, the mere fact that naked political considerations has not happened yet does not mean that it never will. Could there be a possibility that the Secretary of Commerce will pressure the Director to do through patent law what they may not be able to do through antitrust law? The potential exists, given the lack of clear decisional independence of the APJs. </w:t>
      </w:r>
      <w:r w:rsidR="00593892">
        <w:t xml:space="preserve">Further, as the statistical analysis revealed, even holding other factors constant, judges in Texas were less likely to find a patent invalid. It’s unclear what exactly that finding means and whether there is a political dimension to merits decision that could find its way to how </w:t>
      </w:r>
      <w:proofErr w:type="spellStart"/>
      <w:r w:rsidR="00593892">
        <w:t>rehearings</w:t>
      </w:r>
      <w:proofErr w:type="spellEnd"/>
      <w:r w:rsidR="00593892">
        <w:t xml:space="preserve"> are done as well. </w:t>
      </w:r>
    </w:p>
    <w:p w14:paraId="432FFFFB" w14:textId="00A6FE3E" w:rsidR="003F5D68" w:rsidRPr="003F5D68" w:rsidRDefault="00593892" w:rsidP="003F5D68">
      <w:pPr>
        <w:pStyle w:val="NormalWeb"/>
        <w:ind w:firstLine="720"/>
        <w:rPr>
          <w:color w:val="000000"/>
        </w:rPr>
      </w:pPr>
      <w:r>
        <w:t>Also of concern</w:t>
      </w:r>
      <w:r w:rsidR="0077672C" w:rsidRPr="00BD0886">
        <w:t xml:space="preserve"> is that the injection of politics undermines what of the core features needed to </w:t>
      </w:r>
      <w:r w:rsidR="00BB5FE1" w:rsidRPr="00BD0886">
        <w:t>encourage innovation</w:t>
      </w:r>
      <w:r w:rsidR="00B86385">
        <w:t xml:space="preserve">: </w:t>
      </w:r>
      <w:r w:rsidR="00BB5FE1" w:rsidRPr="00BD0886">
        <w:t>certainty.</w:t>
      </w:r>
      <w:r w:rsidR="004A24EE" w:rsidRPr="00BD0886">
        <w:t xml:space="preserve"> </w:t>
      </w:r>
      <w:r w:rsidR="00BB5FE1" w:rsidRPr="00BD0886">
        <w:t>Certainty is perhaps the key animating attribute coloring patent law. In 1982 business interests lobbied for the creation of a specialized and centralized Federal Circuit to create more certainty in patent law. Disruption of certainty in fact was one of the reasons for the PTAB itself. By centralizing the validity determination</w:t>
      </w:r>
      <w:r w:rsidR="00FF56B6" w:rsidRPr="00BD0886">
        <w:t xml:space="preserve"> </w:t>
      </w:r>
      <w:r w:rsidR="00BB5FE1" w:rsidRPr="00BD0886">
        <w:t xml:space="preserve">in an agency instead of dispersing it out to district courts, it was thought to engender certainty. </w:t>
      </w:r>
    </w:p>
    <w:p w14:paraId="1735D8C8" w14:textId="05A5C2D4" w:rsidR="0077672C" w:rsidRPr="00BD0886" w:rsidRDefault="00051578" w:rsidP="003F5F10">
      <w:pPr>
        <w:pStyle w:val="NormalWeb"/>
        <w:ind w:firstLine="720"/>
      </w:pPr>
      <w:r w:rsidRPr="00BD0886">
        <w:t xml:space="preserve">The PTAB’s lack of ability to speak with a consistent voice – either through its reluctance to issue precedential </w:t>
      </w:r>
      <w:r w:rsidR="00FF56B6" w:rsidRPr="00BD0886">
        <w:t>decisions a</w:t>
      </w:r>
      <w:r w:rsidRPr="00BD0886">
        <w:t>s well as its increased tendency to issue discretionary denials of institution</w:t>
      </w:r>
      <w:proofErr w:type="gramStart"/>
      <w:r w:rsidR="00A540F0">
        <w:t xml:space="preserve">- </w:t>
      </w:r>
      <w:r w:rsidRPr="00BD0886">
        <w:t xml:space="preserve"> undermine</w:t>
      </w:r>
      <w:proofErr w:type="gramEnd"/>
      <w:r w:rsidRPr="00BD0886">
        <w:t xml:space="preserve"> the very certainty that is a hallmark of the patent system. As such, any reform must be done to bring back greater certainty into the system.</w:t>
      </w:r>
      <w:r w:rsidRPr="00BD0886">
        <w:rPr>
          <w:rStyle w:val="FootnoteReference"/>
        </w:rPr>
        <w:footnoteReference w:id="125"/>
      </w:r>
    </w:p>
    <w:p w14:paraId="14703F98" w14:textId="0C9234DE" w:rsidR="001A333D" w:rsidRPr="00BD0886" w:rsidRDefault="00FF56B6" w:rsidP="007C324A">
      <w:pPr>
        <w:pStyle w:val="NormalWeb"/>
        <w:numPr>
          <w:ilvl w:val="0"/>
          <w:numId w:val="45"/>
        </w:numPr>
      </w:pPr>
      <w:r w:rsidRPr="00BD0886">
        <w:lastRenderedPageBreak/>
        <w:t>Reforming the PTAB</w:t>
      </w:r>
    </w:p>
    <w:p w14:paraId="39394C0B" w14:textId="37AE58AF" w:rsidR="00E820A1" w:rsidRPr="00BD0886" w:rsidRDefault="00E820A1" w:rsidP="003F5F10">
      <w:pPr>
        <w:pStyle w:val="NormalWeb"/>
        <w:ind w:firstLine="720"/>
      </w:pPr>
      <w:r w:rsidRPr="00BD0886">
        <w:t>Given that the Supreme Court failed to really fix the PTAB system in any practical way, the question remains: what to make of the IPR system in the future? Throwing out the PTAB entirely – as many small inventors wanted – would have wrecked chaos. Over eight years, thousands of patents were invalidated, district court litigations stayed, and the ripple effect of turning the PTAB on its head would have invited even more practical implications that the holding the Court did reach.</w:t>
      </w:r>
    </w:p>
    <w:p w14:paraId="368CF47C" w14:textId="7B825D1B" w:rsidR="006D26C0" w:rsidRPr="00BD0886" w:rsidRDefault="003F7ADD" w:rsidP="003F5F10">
      <w:pPr>
        <w:pStyle w:val="NormalWeb"/>
        <w:ind w:firstLine="720"/>
      </w:pPr>
      <w:r w:rsidRPr="00BD0886">
        <w:t xml:space="preserve">Most importantly, </w:t>
      </w:r>
      <w:r w:rsidRPr="007C324A">
        <w:rPr>
          <w:i/>
          <w:iCs/>
        </w:rPr>
        <w:t>Arthrex</w:t>
      </w:r>
      <w:r w:rsidRPr="00BD0886">
        <w:t xml:space="preserve"> does not really resolve the issue that many inventors, especially small inventors, </w:t>
      </w:r>
      <w:r w:rsidR="001A333D" w:rsidRPr="00BD0886">
        <w:t xml:space="preserve">acutely </w:t>
      </w:r>
      <w:r w:rsidR="003F5D68">
        <w:t xml:space="preserve">attack </w:t>
      </w:r>
      <w:r w:rsidRPr="00BD0886">
        <w:t xml:space="preserve">the PTAB for. There is still a sizable portion of inventors who think that the PTAB is </w:t>
      </w:r>
      <w:proofErr w:type="gramStart"/>
      <w:r w:rsidRPr="00BD0886">
        <w:t>too</w:t>
      </w:r>
      <w:proofErr w:type="gramEnd"/>
      <w:r w:rsidRPr="00BD0886">
        <w:t xml:space="preserve"> trigger happy in invalidating patents. </w:t>
      </w:r>
      <w:r w:rsidR="001A333D" w:rsidRPr="00BD0886">
        <w:t xml:space="preserve">In some respects, </w:t>
      </w:r>
      <w:r w:rsidR="005831D2" w:rsidRPr="007C324A">
        <w:rPr>
          <w:i/>
          <w:iCs/>
        </w:rPr>
        <w:t>Arthrex</w:t>
      </w:r>
      <w:r w:rsidR="005831D2" w:rsidRPr="00BD0886">
        <w:t xml:space="preserve"> </w:t>
      </w:r>
      <w:r w:rsidR="001A333D" w:rsidRPr="00BD0886">
        <w:t>cou</w:t>
      </w:r>
      <w:r w:rsidR="00B755DE">
        <w:t>l</w:t>
      </w:r>
      <w:r w:rsidR="001A333D" w:rsidRPr="00BD0886">
        <w:t>d even be considered a win for</w:t>
      </w:r>
      <w:r w:rsidR="005831D2" w:rsidRPr="00BD0886">
        <w:t xml:space="preserve"> transparency because it puts the decisions of the Director out in the open</w:t>
      </w:r>
      <w:r w:rsidR="001A333D" w:rsidRPr="00BD0886">
        <w:t xml:space="preserve"> rather than relying on behind the scenes panel shuffling to make policy</w:t>
      </w:r>
      <w:r w:rsidR="005831D2" w:rsidRPr="00BD0886">
        <w:t xml:space="preserve">; instead of backdoor maneuvering on who should or should not be on a given panel, any action taken by the Director to interfere in the process will be clear and direct; a panel will decline to hear a case, and the Director would then step in to decide it, opening herself up to the political consequences of doing so. </w:t>
      </w:r>
    </w:p>
    <w:p w14:paraId="65E70265" w14:textId="3B7AE2F9" w:rsidR="00617C74" w:rsidRPr="00BD0886" w:rsidRDefault="006D71DB" w:rsidP="007C324A">
      <w:pPr>
        <w:pStyle w:val="NormalWeb"/>
        <w:ind w:firstLine="720"/>
      </w:pPr>
      <w:r w:rsidRPr="00BD0886">
        <w:t>The advent of the AIA era cemented a gradual shift away from the courts to the agency as the locus of power.</w:t>
      </w:r>
      <w:r w:rsidR="00A235FA" w:rsidRPr="00BD0886">
        <w:t xml:space="preserve"> </w:t>
      </w:r>
      <w:r w:rsidRPr="00BD0886">
        <w:t>For most of the last part of the 20</w:t>
      </w:r>
      <w:r w:rsidRPr="00BD0886">
        <w:rPr>
          <w:vertAlign w:val="superscript"/>
        </w:rPr>
        <w:t>th</w:t>
      </w:r>
      <w:r w:rsidRPr="00BD0886">
        <w:t xml:space="preserve"> century, the Federal Circuit was seen as “the most important expositor of the substantive law of patents.”</w:t>
      </w:r>
      <w:r w:rsidRPr="00BD0886">
        <w:rPr>
          <w:rStyle w:val="FootnoteReference"/>
        </w:rPr>
        <w:footnoteReference w:id="126"/>
      </w:r>
      <w:r w:rsidRPr="00BD0886">
        <w:t xml:space="preserve">  The AIA changed the calculus, giving APJs the power to revoke patent rights, with the agency gradually expanding its power over time. For example, the PTAB has sought to insulate itself from judicial review after the AIA made the PTAB’s discretionary decision whether to review a case “final and </w:t>
      </w:r>
      <w:proofErr w:type="spellStart"/>
      <w:r w:rsidRPr="00BD0886">
        <w:t>nonappealable</w:t>
      </w:r>
      <w:proofErr w:type="spellEnd"/>
      <w:r w:rsidRPr="00BD0886">
        <w:t>.”</w:t>
      </w:r>
      <w:r w:rsidRPr="00BD0886">
        <w:rPr>
          <w:rStyle w:val="FootnoteReference"/>
        </w:rPr>
        <w:footnoteReference w:id="127"/>
      </w:r>
      <w:r w:rsidRPr="00BD0886">
        <w:t xml:space="preserve"> </w:t>
      </w:r>
      <w:r w:rsidR="00F90975" w:rsidRPr="00BD0886">
        <w:t xml:space="preserve"> </w:t>
      </w:r>
      <w:r w:rsidR="00617C74" w:rsidRPr="00BD0886">
        <w:t xml:space="preserve">Any reform of the PTAB must rest on engendering </w:t>
      </w:r>
      <w:r w:rsidR="00617C74" w:rsidRPr="00BD0886">
        <w:lastRenderedPageBreak/>
        <w:t>greater certainty into the process. Patents, by their nature, convey property rights, and a lack of uniformity and certainty undermines them.</w:t>
      </w:r>
      <w:r w:rsidR="00617C74" w:rsidRPr="00BD0886">
        <w:rPr>
          <w:rStyle w:val="FootnoteReference"/>
        </w:rPr>
        <w:footnoteReference w:id="128"/>
      </w:r>
      <w:r w:rsidR="00617C74" w:rsidRPr="00BD0886">
        <w:t xml:space="preserve"> </w:t>
      </w:r>
    </w:p>
    <w:p w14:paraId="60D6950E" w14:textId="63083633" w:rsidR="00400FD5" w:rsidRPr="00BD0886" w:rsidRDefault="00AF3340" w:rsidP="00A540F0">
      <w:pPr>
        <w:pStyle w:val="NormalWeb"/>
        <w:numPr>
          <w:ilvl w:val="0"/>
          <w:numId w:val="46"/>
        </w:numPr>
      </w:pPr>
      <w:r>
        <w:t>Reconsider the Classification of</w:t>
      </w:r>
      <w:r w:rsidR="00085D0B" w:rsidRPr="00BD0886">
        <w:t xml:space="preserve"> APJs</w:t>
      </w:r>
    </w:p>
    <w:p w14:paraId="5995720A" w14:textId="1856A419" w:rsidR="00AF3340" w:rsidRDefault="00A540F0" w:rsidP="00085D0B">
      <w:pPr>
        <w:pStyle w:val="NormalWeb"/>
        <w:ind w:firstLine="720"/>
      </w:pPr>
      <w:r>
        <w:t>First, i</w:t>
      </w:r>
      <w:r w:rsidR="00400FD5" w:rsidRPr="00BD0886">
        <w:t>t may be time to turn the APJs to ALJs</w:t>
      </w:r>
      <w:r w:rsidR="00250A74" w:rsidRPr="00BD0886">
        <w:t>, similar to the process utilized at the Federal Trade Commission,</w:t>
      </w:r>
      <w:r w:rsidR="00250A74" w:rsidRPr="00BD0886">
        <w:rPr>
          <w:rStyle w:val="FootnoteReference"/>
        </w:rPr>
        <w:footnoteReference w:id="129"/>
      </w:r>
      <w:r w:rsidR="00250A74" w:rsidRPr="00BD0886">
        <w:t xml:space="preserve"> the Federal Communications Commission,</w:t>
      </w:r>
      <w:r w:rsidR="00250A74" w:rsidRPr="00BD0886">
        <w:rPr>
          <w:rStyle w:val="FootnoteReference"/>
        </w:rPr>
        <w:footnoteReference w:id="130"/>
      </w:r>
      <w:r w:rsidR="00250A74" w:rsidRPr="00BD0886">
        <w:t xml:space="preserve"> the International Trade Commission,</w:t>
      </w:r>
      <w:r w:rsidR="00250A74" w:rsidRPr="00BD0886">
        <w:rPr>
          <w:rStyle w:val="FootnoteReference"/>
        </w:rPr>
        <w:footnoteReference w:id="131"/>
      </w:r>
      <w:r w:rsidR="00250A74" w:rsidRPr="00BD0886">
        <w:t xml:space="preserve"> and the Securities and Exchange Commission</w:t>
      </w:r>
      <w:r w:rsidR="00250A74" w:rsidRPr="00BD0886">
        <w:rPr>
          <w:rStyle w:val="FootnoteReference"/>
        </w:rPr>
        <w:footnoteReference w:id="132"/>
      </w:r>
      <w:r w:rsidR="00DB18C2" w:rsidRPr="00BD0886">
        <w:t xml:space="preserve"> as well as executive branch agencies such as the Departments of Agriculture, Health and Human Services, Interior and Labor.</w:t>
      </w:r>
      <w:r w:rsidR="00DB18C2" w:rsidRPr="00BD0886">
        <w:rPr>
          <w:rStyle w:val="FootnoteReference"/>
        </w:rPr>
        <w:footnoteReference w:id="133"/>
      </w:r>
      <w:r w:rsidR="00400FD5" w:rsidRPr="00BD0886">
        <w:t xml:space="preserve"> </w:t>
      </w:r>
      <w:r w:rsidR="00AF3340">
        <w:t>The statistical analysis indicated that except for the location of the PTAB presiding judge as well as whether they served as a Federal Circuit clerk, the PTAB demographics had little impact on decision to institute or to find a patent invalid. Still, there is still a perception that individual PTAB judges are biased, and this very perception of bias hurts the PTAB’s legitimacy.</w:t>
      </w:r>
      <w:r w:rsidR="00B86385">
        <w:t xml:space="preserve"> </w:t>
      </w:r>
    </w:p>
    <w:p w14:paraId="2F9C8357" w14:textId="05423FC7" w:rsidR="003F4965" w:rsidRPr="00BD0886" w:rsidRDefault="00400FD5" w:rsidP="00085D0B">
      <w:pPr>
        <w:pStyle w:val="NormalWeb"/>
        <w:ind w:firstLine="720"/>
      </w:pPr>
      <w:r w:rsidRPr="00BD0886">
        <w:t>ALJs enjoy significant protection from performance reviews, and their financial compensation is not dependent upon evaluation of their performance, which is not the case for APJs.</w:t>
      </w:r>
      <w:r w:rsidRPr="00BD0886">
        <w:rPr>
          <w:rStyle w:val="FootnoteReference"/>
        </w:rPr>
        <w:footnoteReference w:id="134"/>
      </w:r>
      <w:r w:rsidRPr="00BD0886">
        <w:t xml:space="preserve"> ALJs can only be removed for “good cause” and any appeals of dismissal can be heard by a separate administrative body, the Merit Systems Protection Board, after a formal </w:t>
      </w:r>
      <w:r w:rsidRPr="00BD0886">
        <w:lastRenderedPageBreak/>
        <w:t>adjudicatory hearing.</w:t>
      </w:r>
      <w:r w:rsidRPr="00BD0886">
        <w:rPr>
          <w:rStyle w:val="FootnoteReference"/>
        </w:rPr>
        <w:footnoteReference w:id="135"/>
      </w:r>
      <w:r w:rsidR="00A511B9" w:rsidRPr="00BD0886">
        <w:t xml:space="preserve"> </w:t>
      </w:r>
      <w:r w:rsidR="003F4965" w:rsidRPr="00BD0886">
        <w:t>ALJs are interviewed and chosen by the OPM.</w:t>
      </w:r>
      <w:r w:rsidR="003F4965" w:rsidRPr="00BD0886">
        <w:rPr>
          <w:rStyle w:val="FootnoteReference"/>
        </w:rPr>
        <w:footnoteReference w:id="136"/>
      </w:r>
      <w:r w:rsidR="003F4965" w:rsidRPr="00BD0886">
        <w:t xml:space="preserve"> </w:t>
      </w:r>
      <w:r w:rsidR="00A511B9" w:rsidRPr="00BD0886">
        <w:t>Although ALJs are certainly free to leave the job if they want, they effectively enjoy life tenure due in part to these protections.</w:t>
      </w:r>
      <w:r w:rsidR="00A511B9" w:rsidRPr="00BD0886">
        <w:rPr>
          <w:rStyle w:val="FootnoteReference"/>
        </w:rPr>
        <w:footnoteReference w:id="137"/>
      </w:r>
      <w:r w:rsidR="00A511B9" w:rsidRPr="00BD0886">
        <w:t xml:space="preserve"> </w:t>
      </w:r>
    </w:p>
    <w:p w14:paraId="49987F27" w14:textId="72B10987" w:rsidR="00400FD5" w:rsidRPr="00BD0886" w:rsidRDefault="003F4965" w:rsidP="003F4965">
      <w:pPr>
        <w:pStyle w:val="NormalWeb"/>
        <w:ind w:firstLine="720"/>
      </w:pPr>
      <w:r w:rsidRPr="00BD0886">
        <w:t>APJs, in turn, are not given the same level of insulation from agency control, and it is the Patent Office itself, rather than the OPM, that decides whether to hire an APJ, thus further aggrandizing power in the agency itself.</w:t>
      </w:r>
      <w:r w:rsidRPr="00BD0886">
        <w:rPr>
          <w:rStyle w:val="FootnoteReference"/>
        </w:rPr>
        <w:footnoteReference w:id="138"/>
      </w:r>
      <w:r w:rsidRPr="00BD0886">
        <w:t xml:space="preserve"> While </w:t>
      </w:r>
      <w:r w:rsidR="008B3747">
        <w:t xml:space="preserve">on paper </w:t>
      </w:r>
      <w:r w:rsidRPr="00BD0886">
        <w:t>the PTO utilizes competitive processes to hire APJs, requiring them to have both legal and technical expertise, and be members of the bar, with at least 10 to 15 years of litigation experience,</w:t>
      </w:r>
      <w:r w:rsidRPr="00BD0886">
        <w:rPr>
          <w:rStyle w:val="FootnoteReference"/>
        </w:rPr>
        <w:footnoteReference w:id="139"/>
      </w:r>
      <w:r w:rsidRPr="00BD0886">
        <w:t xml:space="preserve"> in practice, these requirements are often not met. </w:t>
      </w:r>
      <w:r w:rsidR="007B34E2">
        <w:t>As noted in the Article earlier, t</w:t>
      </w:r>
      <w:r w:rsidRPr="00BD0886">
        <w:t xml:space="preserve">he authors’ review of the resumes of APJs that the author received under the Freedom of Information Act indicated that nearly 40% of APJs have less than 10 years of legal </w:t>
      </w:r>
      <w:proofErr w:type="gramStart"/>
      <w:r w:rsidRPr="00BD0886">
        <w:t>experience ,with</w:t>
      </w:r>
      <w:proofErr w:type="gramEnd"/>
      <w:r w:rsidRPr="00BD0886">
        <w:t xml:space="preserve"> as much as a third of APJs serving as associates in law firms in the Washington D.C. area </w:t>
      </w:r>
      <w:r w:rsidR="007B34E2">
        <w:t xml:space="preserve">just </w:t>
      </w:r>
      <w:r w:rsidRPr="00BD0886">
        <w:t xml:space="preserve">prior to their appointment. </w:t>
      </w:r>
      <w:r w:rsidR="0005398D" w:rsidRPr="00BD0886">
        <w:t xml:space="preserve">Moreover, review of those resumes also indicated that of the more than 200 APJs, it has increasingly become common practice for the PTAB to serve as </w:t>
      </w:r>
      <w:proofErr w:type="gramStart"/>
      <w:r w:rsidR="0005398D" w:rsidRPr="00BD0886">
        <w:t>a  “</w:t>
      </w:r>
      <w:proofErr w:type="gramEnd"/>
      <w:r w:rsidR="0005398D" w:rsidRPr="00BD0886">
        <w:t xml:space="preserve">revolving door” with APJs leaving law firms at the sixth or seventh year, going to serve as a judge at the PTAB for a few years, then returning to private practice. The authors’ review of the APJ resumes indicate that over the past two years, </w:t>
      </w:r>
      <w:r w:rsidR="007B34E2">
        <w:t>about 10% of judges</w:t>
      </w:r>
      <w:r w:rsidR="0005398D" w:rsidRPr="00BD0886">
        <w:t xml:space="preserve"> have left the PTAB only to return to private practice, and in </w:t>
      </w:r>
      <w:r w:rsidR="0070474B">
        <w:t>two</w:t>
      </w:r>
      <w:r w:rsidR="0005398D" w:rsidRPr="00BD0886">
        <w:t xml:space="preserve"> case</w:t>
      </w:r>
      <w:r w:rsidR="0070474B">
        <w:t>s</w:t>
      </w:r>
      <w:r w:rsidR="0005398D" w:rsidRPr="00BD0886">
        <w:t xml:space="preserve">, to serve as General Counsel at Apple-the party that has the most PTAB proceedings at any given time. About </w:t>
      </w:r>
      <w:r w:rsidR="00346988">
        <w:t>five</w:t>
      </w:r>
      <w:r w:rsidR="0005398D" w:rsidRPr="00BD0886">
        <w:t xml:space="preserve"> former APJs currently serve as the head of “PTAB Practice” at major firms in the Washington D.C. area</w:t>
      </w:r>
      <w:r w:rsidR="00346988">
        <w:t xml:space="preserve">, </w:t>
      </w:r>
      <w:r w:rsidR="00A67876" w:rsidRPr="00BD0886">
        <w:t>the firms that most commonly appear before the PTAB</w:t>
      </w:r>
      <w:r w:rsidR="0005398D" w:rsidRPr="00BD0886">
        <w:t xml:space="preserve">. Moreover, most of the PTAB </w:t>
      </w:r>
      <w:r w:rsidR="0005398D" w:rsidRPr="00BD0886">
        <w:lastRenderedPageBreak/>
        <w:t xml:space="preserve">judges hail from representing the very clients that are the subject of PTAB proceedings. </w:t>
      </w:r>
      <w:r w:rsidR="007D5493" w:rsidRPr="00BD0886">
        <w:t xml:space="preserve"> More than 85% of A</w:t>
      </w:r>
      <w:r w:rsidR="00B755DE">
        <w:t>P</w:t>
      </w:r>
      <w:r w:rsidR="007D5493" w:rsidRPr="00BD0886">
        <w:t>J</w:t>
      </w:r>
      <w:r w:rsidR="00B755DE">
        <w:t>s</w:t>
      </w:r>
      <w:r w:rsidR="007D5493" w:rsidRPr="00BD0886">
        <w:t xml:space="preserve"> served at one point in private practice</w:t>
      </w:r>
      <w:r w:rsidR="00A67876" w:rsidRPr="00BD0886">
        <w:t xml:space="preserve">, with more than half hailing from the law firms that commonly appear before the PTAB, such as Finnegan Henderson, Ropes &amp; Gray, or Fish &amp; Richardson. </w:t>
      </w:r>
      <w:r w:rsidR="00F373A5">
        <w:t xml:space="preserve">Of course, it is unavoidable to hire APJs that spent significant time practicing patent law in law firms. But certainly, greater transparency and ethics reforms to combat the revolving door could do much to counter the </w:t>
      </w:r>
      <w:r w:rsidR="00F373A5" w:rsidRPr="00F373A5">
        <w:rPr>
          <w:i/>
          <w:iCs/>
        </w:rPr>
        <w:t>perception</w:t>
      </w:r>
      <w:r w:rsidR="00F373A5">
        <w:t xml:space="preserve"> of bias that undermines the PTAB’s legitimacy among a segment of the inventorship community. </w:t>
      </w:r>
      <w:r w:rsidR="00346988">
        <w:t>No doubt all agencies struggle with hiring adjudicators who may have hailed from industry. In the immigration courts, for example, more than 90% of immigration judges previously worked at INS, DOJ or Department of Homeland Security, though their prior government employment did not appear to influence whether or not they had a greater tendency to remove the noncitizen in immigration proceedings.</w:t>
      </w:r>
      <w:r w:rsidR="00346988">
        <w:rPr>
          <w:rStyle w:val="FootnoteReference"/>
        </w:rPr>
        <w:footnoteReference w:id="140"/>
      </w:r>
      <w:r w:rsidR="00346988">
        <w:t xml:space="preserve"> </w:t>
      </w:r>
      <w:r w:rsidR="002B5C85">
        <w:t xml:space="preserve">My analysis indicated that in approximately 4% of cases, based only on analyzing the author of either the institution decision or the final merits decision, </w:t>
      </w:r>
      <w:r w:rsidR="00C83DA2">
        <w:t xml:space="preserve">the PTAB judge previously worked at least as an associate at one of the law firms involved in the case, with 2% of cases the APJ having been a partner in one of the involved firms. </w:t>
      </w:r>
      <w:r w:rsidR="00B86385">
        <w:t>These perception problems are self-created by the PTO.</w:t>
      </w:r>
    </w:p>
    <w:p w14:paraId="3C1BD78A" w14:textId="4A4282EE" w:rsidR="001344E7" w:rsidRPr="00BD0886" w:rsidRDefault="007C51A1" w:rsidP="003F4965">
      <w:pPr>
        <w:pStyle w:val="NormalWeb"/>
        <w:ind w:firstLine="720"/>
      </w:pPr>
      <w:r w:rsidRPr="00BD0886">
        <w:t>Further complicating the APJs’ independence is the perception that the bonus structure of the PTAB improperly motivates PTAB judges to institute PTAB proceedings. Unlike ALJs, whose salaries are set by an outside agency</w:t>
      </w:r>
      <w:r w:rsidR="00E73103" w:rsidRPr="00BD0886">
        <w:t xml:space="preserve"> and where bonuses are forbidden</w:t>
      </w:r>
      <w:r w:rsidR="00A540F0">
        <w:t>,</w:t>
      </w:r>
      <w:r w:rsidR="00E73103" w:rsidRPr="00BD0886">
        <w:rPr>
          <w:rStyle w:val="FootnoteReference"/>
        </w:rPr>
        <w:footnoteReference w:id="141"/>
      </w:r>
      <w:r w:rsidRPr="00BD0886">
        <w:t xml:space="preserve"> the Director of the PTO has the power to “fix the rate of basic pay for” APJs.</w:t>
      </w:r>
      <w:r w:rsidRPr="00BD0886">
        <w:rPr>
          <w:rStyle w:val="FootnoteReference"/>
        </w:rPr>
        <w:footnoteReference w:id="142"/>
      </w:r>
      <w:r w:rsidR="00085D0B" w:rsidRPr="00BD0886">
        <w:t xml:space="preserve"> APJs are also subject to performance reviews by which their “bonuses” are set.</w:t>
      </w:r>
      <w:r w:rsidR="00085D0B" w:rsidRPr="00BD0886">
        <w:rPr>
          <w:rStyle w:val="FootnoteReference"/>
        </w:rPr>
        <w:footnoteReference w:id="143"/>
      </w:r>
      <w:r w:rsidR="001C051A" w:rsidRPr="00BD0886">
        <w:t xml:space="preserve"> Some distractors of the PTAB have analyzed the bonus structure </w:t>
      </w:r>
      <w:r w:rsidR="00F373A5">
        <w:t xml:space="preserve">for a single fiscal year when bonuses were high </w:t>
      </w:r>
      <w:r w:rsidR="001C051A" w:rsidRPr="00BD0886">
        <w:t>and argue that bonuses increase for APJs who institute more procedures.</w:t>
      </w:r>
      <w:r w:rsidR="001C051A" w:rsidRPr="00BD0886">
        <w:rPr>
          <w:rStyle w:val="FootnoteReference"/>
        </w:rPr>
        <w:footnoteReference w:id="144"/>
      </w:r>
      <w:r w:rsidR="001C051A" w:rsidRPr="00BD0886">
        <w:t xml:space="preserve"> </w:t>
      </w:r>
      <w:r w:rsidR="00F373A5">
        <w:t>Notably, s</w:t>
      </w:r>
      <w:r w:rsidR="001C051A" w:rsidRPr="00BD0886">
        <w:t>ome of these studies rest on faulty statistical assumption and on limited data.</w:t>
      </w:r>
      <w:r w:rsidR="001C051A" w:rsidRPr="00BD0886">
        <w:rPr>
          <w:rStyle w:val="FootnoteReference"/>
        </w:rPr>
        <w:footnoteReference w:id="145"/>
      </w:r>
      <w:r w:rsidR="001302EB" w:rsidRPr="00BD0886">
        <w:t xml:space="preserve"> The authors’ </w:t>
      </w:r>
      <w:r w:rsidR="00F373A5">
        <w:t xml:space="preserve">own </w:t>
      </w:r>
      <w:r w:rsidR="001302EB" w:rsidRPr="00BD0886">
        <w:t xml:space="preserve">review of </w:t>
      </w:r>
      <w:r w:rsidR="001302EB" w:rsidRPr="00BD0886">
        <w:lastRenderedPageBreak/>
        <w:t>the bonus information that was available online</w:t>
      </w:r>
      <w:r w:rsidR="00F373A5">
        <w:t xml:space="preserve"> from fiscal year 2012 to fiscal year 2018</w:t>
      </w:r>
      <w:r w:rsidR="001302EB" w:rsidRPr="00BD0886">
        <w:t xml:space="preserve"> indicated no obvious patterns. </w:t>
      </w:r>
      <w:r w:rsidR="007229EB">
        <w:t>Although full information is not available or thoroughly analyzed since the author is awaiting a FOIA request on the bonuses,</w:t>
      </w:r>
      <w:r w:rsidR="007229EB">
        <w:rPr>
          <w:rStyle w:val="FootnoteReference"/>
        </w:rPr>
        <w:footnoteReference w:id="146"/>
      </w:r>
      <w:r w:rsidR="007229EB">
        <w:t xml:space="preserve"> </w:t>
      </w:r>
      <w:r w:rsidR="001302EB" w:rsidRPr="00BD0886">
        <w:t>APJs who had a long career at the PTO, who may have served at the Solicitor’s Office or who had been examiners</w:t>
      </w:r>
      <w:r w:rsidR="005D51D6">
        <w:t xml:space="preserve"> prior to being APJs</w:t>
      </w:r>
      <w:r w:rsidR="001302EB" w:rsidRPr="00BD0886">
        <w:t>, generally receive lower bonuses than those who had been at law firms</w:t>
      </w:r>
      <w:r w:rsidR="007229EB">
        <w:t>, suggesting that perhaps bonuses are tools to retain talent rather than to influence outcomes</w:t>
      </w:r>
      <w:r w:rsidR="001302EB" w:rsidRPr="00BD0886">
        <w:t>.</w:t>
      </w:r>
      <w:r w:rsidR="005D51D6" w:rsidRPr="005D51D6">
        <w:t xml:space="preserve"> </w:t>
      </w:r>
      <w:r w:rsidR="005D51D6">
        <w:t xml:space="preserve">In </w:t>
      </w:r>
      <w:r w:rsidR="005D51D6" w:rsidRPr="00BD0886">
        <w:t xml:space="preserve">recent years, the PTAB seems to have backed down from awarding high bonuses. For example, in fiscal year 2017 and 2018, more than 60% of APJs received a bonus of about </w:t>
      </w:r>
      <w:r w:rsidR="005D51D6">
        <w:t>$</w:t>
      </w:r>
      <w:r w:rsidR="005D51D6" w:rsidRPr="00BD0886">
        <w:t>17,000, with the remaining receiving a</w:t>
      </w:r>
      <w:r w:rsidR="005D51D6">
        <w:t xml:space="preserve"> </w:t>
      </w:r>
      <w:r w:rsidR="005D51D6" w:rsidRPr="00BD0886">
        <w:t>bonus of about $8000</w:t>
      </w:r>
      <w:r w:rsidR="005D51D6">
        <w:t>, with the lower bonus amounts generally being awarded to lead APJs or those with PTAB Solicitor Office experience</w:t>
      </w:r>
      <w:r w:rsidR="005D51D6" w:rsidRPr="00BD0886">
        <w:t xml:space="preserve">. </w:t>
      </w:r>
      <w:r w:rsidR="001302EB" w:rsidRPr="00BD0886">
        <w:t xml:space="preserve"> </w:t>
      </w:r>
      <w:r w:rsidR="00F373A5">
        <w:t xml:space="preserve">Moreover, almost all judges in fiscal year 2017 and 2018 received lower bonuses than prior years. Nearly all judges in fiscal year 2016, the year of the </w:t>
      </w:r>
      <w:r w:rsidR="007229EB">
        <w:t xml:space="preserve">bias </w:t>
      </w:r>
      <w:r w:rsidR="00F373A5">
        <w:t xml:space="preserve">study in question, received bonuses in the $28,000-$30,000 range; although it is impossible to say without more information, slight differences between APJs of less than $1,000 likely had more to do with caseload factors than a plan by the PTO to reward certain examiners a few </w:t>
      </w:r>
      <w:proofErr w:type="spellStart"/>
      <w:r w:rsidR="00F373A5">
        <w:t>hundreds</w:t>
      </w:r>
      <w:proofErr w:type="spellEnd"/>
      <w:r w:rsidR="00F373A5">
        <w:t xml:space="preserve"> dollars more to institute more proceedings or invalidate more patents. </w:t>
      </w:r>
      <w:r w:rsidR="001302EB" w:rsidRPr="00BD0886">
        <w:t xml:space="preserve">Further, the </w:t>
      </w:r>
      <w:proofErr w:type="gramStart"/>
      <w:r w:rsidR="001302EB" w:rsidRPr="00BD0886">
        <w:t>amount</w:t>
      </w:r>
      <w:proofErr w:type="gramEnd"/>
      <w:r w:rsidR="001302EB" w:rsidRPr="00BD0886">
        <w:t xml:space="preserve"> of bonuses</w:t>
      </w:r>
      <w:r w:rsidR="00F373A5">
        <w:t>, while constituting about 10% of annual salary,</w:t>
      </w:r>
      <w:r w:rsidR="001302EB" w:rsidRPr="00BD0886">
        <w:t xml:space="preserve"> is relatively small</w:t>
      </w:r>
      <w:r w:rsidR="00F373A5">
        <w:t>, and the differences between APJs is small</w:t>
      </w:r>
      <w:r w:rsidR="00CE4936">
        <w:t xml:space="preserve"> as well, with small differences likely related to prior job experience and caseload. </w:t>
      </w:r>
    </w:p>
    <w:p w14:paraId="2E5C8E08" w14:textId="46E23C36" w:rsidR="007C51A1" w:rsidRPr="00BD0886" w:rsidRDefault="001302EB" w:rsidP="003F4965">
      <w:pPr>
        <w:pStyle w:val="NormalWeb"/>
        <w:ind w:firstLine="720"/>
      </w:pPr>
      <w:r w:rsidRPr="00BD0886">
        <w:t xml:space="preserve">Nonetheless, regardless of what the analysis of bonus structures </w:t>
      </w:r>
      <w:proofErr w:type="gramStart"/>
      <w:r w:rsidRPr="00BD0886">
        <w:t>reveal</w:t>
      </w:r>
      <w:proofErr w:type="gramEnd"/>
      <w:r w:rsidRPr="00BD0886">
        <w:t xml:space="preserve">, the </w:t>
      </w:r>
      <w:r w:rsidRPr="00595FFE">
        <w:rPr>
          <w:i/>
          <w:iCs/>
        </w:rPr>
        <w:t>very perception</w:t>
      </w:r>
      <w:r w:rsidRPr="00BD0886">
        <w:t xml:space="preserve"> among </w:t>
      </w:r>
      <w:r w:rsidR="00595FFE">
        <w:t>some of the inventorship community</w:t>
      </w:r>
      <w:r w:rsidRPr="00BD0886">
        <w:t xml:space="preserve"> who </w:t>
      </w:r>
      <w:r w:rsidR="00595FFE">
        <w:t xml:space="preserve">believe </w:t>
      </w:r>
      <w:r w:rsidRPr="00BD0886">
        <w:t xml:space="preserve">that APJs are improperly motivated by </w:t>
      </w:r>
      <w:r w:rsidR="001344E7" w:rsidRPr="00BD0886">
        <w:t>a small amount of bonus is something that the PTAB can easily address by either awarding no bonus or making more explicit how each bonus is calculated and making that information public. Or, the agency can simply make APJs more like ALJs</w:t>
      </w:r>
      <w:r w:rsidR="00E73103" w:rsidRPr="00BD0886">
        <w:t>.</w:t>
      </w:r>
    </w:p>
    <w:p w14:paraId="61AB5CCB" w14:textId="15F92208" w:rsidR="00E73103" w:rsidRPr="00BD0886" w:rsidRDefault="00E73103" w:rsidP="003F4965">
      <w:pPr>
        <w:pStyle w:val="NormalWeb"/>
        <w:ind w:firstLine="720"/>
      </w:pPr>
      <w:r w:rsidRPr="00BD0886">
        <w:t xml:space="preserve">Finally, APJs differ from ALJs because APJs can be more easily removed. </w:t>
      </w:r>
      <w:r w:rsidR="009B44FB" w:rsidRPr="00BD0886">
        <w:t xml:space="preserve">This difference is not as problematic as the bonuses since it is </w:t>
      </w:r>
      <w:r w:rsidR="009B44FB" w:rsidRPr="00BD0886">
        <w:lastRenderedPageBreak/>
        <w:t>very difficult to fire APJs.</w:t>
      </w:r>
      <w:r w:rsidR="009B44FB" w:rsidRPr="00BD0886">
        <w:rPr>
          <w:rStyle w:val="FootnoteReference"/>
        </w:rPr>
        <w:footnoteReference w:id="147"/>
      </w:r>
      <w:r w:rsidR="009B44FB" w:rsidRPr="00BD0886">
        <w:t xml:space="preserve"> </w:t>
      </w:r>
      <w:r w:rsidR="007B34E2">
        <w:t xml:space="preserve">However, the possibility of removal may inhibit recruitment as well as contribute to the tendency of PTAB judges to see their experience as a “launching point” to become partner at a law firm. </w:t>
      </w:r>
      <w:r w:rsidR="009B44FB" w:rsidRPr="00BD0886">
        <w:t>Indeed, more concerning is the fact that rather than being fired, so many APJs actually want to leave the PTAB</w:t>
      </w:r>
      <w:r w:rsidR="008968F7" w:rsidRPr="00BD0886">
        <w:t xml:space="preserve"> for more lucrative careers in the private sector</w:t>
      </w:r>
      <w:r w:rsidR="009B44FB" w:rsidRPr="00BD0886">
        <w:t>.</w:t>
      </w:r>
      <w:r w:rsidR="008968F7" w:rsidRPr="00BD0886">
        <w:t xml:space="preserve"> Nearly 45% of APJs come to become APJs mid-career, with the median age being 48</w:t>
      </w:r>
      <w:r w:rsidR="00595FFE">
        <w:t xml:space="preserve">. </w:t>
      </w:r>
      <w:r w:rsidR="001B584A" w:rsidRPr="00BD0886">
        <w:t>While patent law is different</w:t>
      </w:r>
      <w:r w:rsidR="00CE4936">
        <w:t xml:space="preserve"> from other administrative agencies such as environmental law or civil rights</w:t>
      </w:r>
      <w:r w:rsidR="001B584A" w:rsidRPr="00BD0886">
        <w:t xml:space="preserve"> in that a lucrative private sector </w:t>
      </w:r>
      <w:r w:rsidR="004A5041">
        <w:t xml:space="preserve">always </w:t>
      </w:r>
      <w:r w:rsidR="001B584A" w:rsidRPr="00BD0886">
        <w:t xml:space="preserve">provides an attractive alternative to being a PTAB judge, we do not commonly see the same issue arising with respect to federal judgeships with </w:t>
      </w:r>
      <w:r w:rsidR="00595FFE">
        <w:t xml:space="preserve">many </w:t>
      </w:r>
      <w:r w:rsidR="001B584A" w:rsidRPr="00BD0886">
        <w:t>federal judges fleeing to private law firms to capitalize on their experience. Currently, subject to some exceptions, APJs can still hear cases that arise from their past law firms as well as former clients</w:t>
      </w:r>
      <w:r w:rsidR="00CE4936">
        <w:t xml:space="preserve"> (and as noted above, a small percentage of APJs hear cases from clients represented by their prior law firms)</w:t>
      </w:r>
      <w:r w:rsidR="001B584A" w:rsidRPr="00BD0886">
        <w:t xml:space="preserve">, and there is no way to account for APJs using the PTAB process for their own ends to make themselves an attractive candidate for lateral recruitment to clients or outside law firms. </w:t>
      </w:r>
      <w:r w:rsidR="00CE4936">
        <w:t xml:space="preserve">Two APJs, for example, are now in house general counsel for Apple after serving a few years at the PTAB and hearing cases involving Apple. </w:t>
      </w:r>
      <w:r w:rsidR="00595FFE">
        <w:t xml:space="preserve">Indeed, it may not be accidental that almost all APJs, except generally those who previously served as examiners or have a long history of serving at the PTO, all have </w:t>
      </w:r>
      <w:r w:rsidR="00CE4936">
        <w:t xml:space="preserve">detailed </w:t>
      </w:r>
      <w:proofErr w:type="spellStart"/>
      <w:r w:rsidR="00595FFE">
        <w:t>Linkedin</w:t>
      </w:r>
      <w:proofErr w:type="spellEnd"/>
      <w:r w:rsidR="00595FFE">
        <w:t xml:space="preserve"> pages.</w:t>
      </w:r>
    </w:p>
    <w:p w14:paraId="6F5C23E4" w14:textId="3D90C6DC" w:rsidR="00122E82" w:rsidRDefault="00DC523C" w:rsidP="00122E82">
      <w:pPr>
        <w:pStyle w:val="NormalWeb"/>
        <w:ind w:firstLine="720"/>
      </w:pPr>
      <w:r w:rsidRPr="00BD0886">
        <w:t xml:space="preserve">The PTO can try to resolve this issue in part at the very least by providing a </w:t>
      </w:r>
      <w:r w:rsidR="00C600CD">
        <w:t xml:space="preserve">more express </w:t>
      </w:r>
      <w:r w:rsidRPr="00BD0886">
        <w:t>mechanism for allowing parties to disqualify an APJ for bias</w:t>
      </w:r>
      <w:r w:rsidR="00346634">
        <w:t>, a protection enjoyed by about half of “Type B” adjudications</w:t>
      </w:r>
      <w:r w:rsidRPr="00BD0886">
        <w:t>.</w:t>
      </w:r>
      <w:r w:rsidR="00346634">
        <w:rPr>
          <w:rStyle w:val="FootnoteReference"/>
        </w:rPr>
        <w:footnoteReference w:id="148"/>
      </w:r>
      <w:r w:rsidRPr="00BD0886">
        <w:t xml:space="preserve"> Though in practice, PTAB judges are suppose</w:t>
      </w:r>
      <w:r w:rsidR="00B755DE">
        <w:t>d</w:t>
      </w:r>
      <w:r w:rsidRPr="00BD0886">
        <w:t xml:space="preserve"> to recuse themselves,</w:t>
      </w:r>
      <w:r w:rsidR="00C600CD">
        <w:rPr>
          <w:rStyle w:val="FootnoteReference"/>
        </w:rPr>
        <w:footnoteReference w:id="149"/>
      </w:r>
      <w:r w:rsidRPr="00BD0886">
        <w:t xml:space="preserve"> there is no formal requirement to do so. The PTO should co</w:t>
      </w:r>
      <w:r w:rsidR="00A540F0">
        <w:t>dify</w:t>
      </w:r>
      <w:r w:rsidRPr="00BD0886">
        <w:t xml:space="preserve"> by regulation or at least provide formal guidance of the standards and practices for disqualification and provide a means for litigants to move to disqualify certain PTAB judges. This would at least improve the perception that the PTAB is biased in favor of certain parties. </w:t>
      </w:r>
      <w:r w:rsidR="00122E82">
        <w:t xml:space="preserve"> Further, as Walker and Wasserman point out, the regulations also do not provide that </w:t>
      </w:r>
      <w:r w:rsidR="00122E82">
        <w:lastRenderedPageBreak/>
        <w:t>the PTAB decision be limited to the basis in the hearing record,</w:t>
      </w:r>
      <w:r w:rsidR="00122E82">
        <w:rPr>
          <w:rStyle w:val="FootnoteReference"/>
        </w:rPr>
        <w:footnoteReference w:id="150"/>
      </w:r>
      <w:r w:rsidR="00122E82">
        <w:t xml:space="preserve"> nor must the parties be provided with a transcript of the evidence or that the decision itself present “all material findings of fact and legal conclusion,”</w:t>
      </w:r>
      <w:r w:rsidR="00122E82">
        <w:rPr>
          <w:rStyle w:val="FootnoteReference"/>
        </w:rPr>
        <w:footnoteReference w:id="151"/>
      </w:r>
      <w:r w:rsidR="00122E82">
        <w:t xml:space="preserve"> though Federal Circuit decisions have imposed these requirements on the agency.</w:t>
      </w:r>
      <w:r w:rsidR="00122E82">
        <w:rPr>
          <w:rStyle w:val="FootnoteReference"/>
        </w:rPr>
        <w:footnoteReference w:id="152"/>
      </w:r>
      <w:r w:rsidR="002B236A">
        <w:t xml:space="preserve"> Given the revolving door and the perception problems that arise for APJs, making the evidentiary record clearer could do much to at least address some of the perception issues by making clear the basis for the decision, with APJs clearly explaining their reasoning.</w:t>
      </w:r>
    </w:p>
    <w:p w14:paraId="029D704C" w14:textId="4F74705A" w:rsidR="008227B1" w:rsidRDefault="002B236A" w:rsidP="004A5041">
      <w:pPr>
        <w:pStyle w:val="NormalWeb"/>
        <w:numPr>
          <w:ilvl w:val="0"/>
          <w:numId w:val="46"/>
        </w:numPr>
      </w:pPr>
      <w:r>
        <w:t>Eliminate the Perception that the PTAB “Stacks” Panels</w:t>
      </w:r>
    </w:p>
    <w:p w14:paraId="4CCE0FE3" w14:textId="17321668" w:rsidR="00CB2C13" w:rsidRDefault="008227B1" w:rsidP="00F01F26">
      <w:pPr>
        <w:pStyle w:val="NormalWeb"/>
        <w:ind w:firstLine="720"/>
      </w:pPr>
      <w:r>
        <w:t>The PTO Director has the power to designate members of the panel as well as has the exclusive authority to grant a rehearing.</w:t>
      </w:r>
      <w:r>
        <w:rPr>
          <w:rStyle w:val="FootnoteReference"/>
        </w:rPr>
        <w:footnoteReference w:id="153"/>
      </w:r>
      <w:r>
        <w:t xml:space="preserve"> </w:t>
      </w:r>
      <w:r w:rsidR="00152777" w:rsidRPr="00BD0886">
        <w:t xml:space="preserve">Given that the </w:t>
      </w:r>
      <w:r w:rsidR="00152777" w:rsidRPr="00A540F0">
        <w:rPr>
          <w:i/>
          <w:iCs/>
        </w:rPr>
        <w:t>Arthrex</w:t>
      </w:r>
      <w:r w:rsidR="00152777" w:rsidRPr="00BD0886">
        <w:t xml:space="preserve"> Court provided as a remedy the ability of the Director to rehear the case, the PTO’s dubious practice of “stacking panels” should be </w:t>
      </w:r>
      <w:r w:rsidR="00843634">
        <w:t xml:space="preserve">expressly </w:t>
      </w:r>
      <w:r w:rsidR="00152777" w:rsidRPr="00BD0886">
        <w:t>abolished</w:t>
      </w:r>
      <w:r w:rsidR="00CB2C13">
        <w:t>, with the agency instead relying on random assignment as many other agencies and courts employ</w:t>
      </w:r>
      <w:r w:rsidR="00152777" w:rsidRPr="00BD0886">
        <w:t xml:space="preserve">. In the first instance, it is unclear whether </w:t>
      </w:r>
      <w:r w:rsidR="00CB2C13">
        <w:t>panel stacking</w:t>
      </w:r>
      <w:r w:rsidR="00152777" w:rsidRPr="00BD0886">
        <w:t xml:space="preserve"> actually ha</w:t>
      </w:r>
      <w:r w:rsidR="00CB2C13">
        <w:t>s</w:t>
      </w:r>
      <w:r w:rsidR="00152777" w:rsidRPr="00BD0886">
        <w:t xml:space="preserve"> any substantive impact. Between 2012-2020, </w:t>
      </w:r>
      <w:r w:rsidR="00BD0886" w:rsidRPr="00BD0886">
        <w:t xml:space="preserve">over </w:t>
      </w:r>
      <w:r w:rsidR="00A43CB1">
        <w:t>81</w:t>
      </w:r>
      <w:r w:rsidR="00152777" w:rsidRPr="00BD0886">
        <w:t xml:space="preserve">% of cases heard on the merits were decided by the same panel of judges that did the institution. Moreover, in the approximately </w:t>
      </w:r>
      <w:r w:rsidR="004A5041">
        <w:t>780</w:t>
      </w:r>
      <w:r w:rsidR="00152777" w:rsidRPr="00BD0886">
        <w:t xml:space="preserve"> cases</w:t>
      </w:r>
      <w:r w:rsidR="004A5041">
        <w:t xml:space="preserve"> (</w:t>
      </w:r>
      <w:r w:rsidR="00A43CB1">
        <w:t>18</w:t>
      </w:r>
      <w:r w:rsidR="004A5041">
        <w:t>%)</w:t>
      </w:r>
      <w:r w:rsidR="00152777" w:rsidRPr="00BD0886">
        <w:t xml:space="preserve"> in which panel members changed from the institution phase to the merits phase, there appears to be no clear pattern on certain judges being switched out for others so as to get a certain outcome. </w:t>
      </w:r>
      <w:r w:rsidR="00CB2C13">
        <w:t xml:space="preserve">In my analysis, I analyzed the “replacement” </w:t>
      </w:r>
      <w:r w:rsidR="00DC75F6">
        <w:t>APJs</w:t>
      </w:r>
      <w:r w:rsidR="00F01F26">
        <w:t>; I also analyzed whether the presider judge changed as well as whether any panel members changed</w:t>
      </w:r>
      <w:r w:rsidR="00DC75F6">
        <w:t xml:space="preserve">. In some of these cases, because of the revolving door mentioned previously, APJs were replaced </w:t>
      </w:r>
      <w:r w:rsidR="00A43CB1">
        <w:t xml:space="preserve">simply </w:t>
      </w:r>
      <w:r w:rsidR="00DC75F6">
        <w:t>because the prior APJ returned to private practice or retired.</w:t>
      </w:r>
      <w:r w:rsidR="00F01F26">
        <w:t xml:space="preserve"> Overall, most of the “replacement” APJs were those who served as “lead” APJs or had some leadership role in the agency.</w:t>
      </w:r>
      <w:r w:rsidR="004A5041">
        <w:t xml:space="preserve"> But these replacement judges had no clear patterns with respect to their tendency to institute or to find patents invalid</w:t>
      </w:r>
      <w:r w:rsidR="00A43CB1">
        <w:t xml:space="preserve">, at least so far in my analysis. </w:t>
      </w:r>
      <w:r w:rsidR="00843634">
        <w:t>What did matter, as noted in the regression analysis, was whether the presiding judge changed</w:t>
      </w:r>
      <w:r w:rsidR="00A235FA">
        <w:t>, not necessarily whether a judge was replaced</w:t>
      </w:r>
      <w:r w:rsidR="00843634">
        <w:t xml:space="preserve">. Thus, rather than stacking panels, </w:t>
      </w:r>
      <w:r w:rsidR="00843634">
        <w:lastRenderedPageBreak/>
        <w:t xml:space="preserve">it appears that the Director’s choice of who presides was one mechanism to influence outcomes. Further study of non-presiding judges would indicate whether presiding judges differ from non-presiding judges in their propensity to institute or rule a patent invalid. Given the dearth of dissents overall, it is unlikely to yield much more insight. </w:t>
      </w:r>
    </w:p>
    <w:p w14:paraId="02F363B6" w14:textId="651D3A60" w:rsidR="007A72A0" w:rsidRDefault="007A72A0" w:rsidP="00A16497">
      <w:pPr>
        <w:pStyle w:val="NormalWeb"/>
        <w:ind w:firstLine="360"/>
      </w:pPr>
      <w:r>
        <w:t>Indeed, a</w:t>
      </w:r>
      <w:r w:rsidRPr="00BD0886">
        <w:t xml:space="preserve"> </w:t>
      </w:r>
      <w:r w:rsidR="00A16497">
        <w:t xml:space="preserve">preliminary </w:t>
      </w:r>
      <w:r w:rsidRPr="00BD0886">
        <w:t xml:space="preserve">review of the limited number of cases where </w:t>
      </w:r>
      <w:r w:rsidR="00843634">
        <w:t xml:space="preserve">panels (and not the presider) switched </w:t>
      </w:r>
      <w:r w:rsidRPr="00BD0886">
        <w:t>indicate that most of these cases are ones in which the Director actually wants to use adjudication to make policy</w:t>
      </w:r>
      <w:r>
        <w:t>, which could instead be accomplished by other means such as rulemaking</w:t>
      </w:r>
      <w:r w:rsidRPr="00BD0886">
        <w:t xml:space="preserve">. </w:t>
      </w:r>
      <w:r w:rsidR="00A235FA">
        <w:t xml:space="preserve">One of the </w:t>
      </w:r>
      <w:r>
        <w:t>most famous case</w:t>
      </w:r>
      <w:r w:rsidR="00A235FA">
        <w:t>s</w:t>
      </w:r>
      <w:r>
        <w:t xml:space="preserve"> in which the Director did this was in </w:t>
      </w:r>
      <w:r>
        <w:rPr>
          <w:i/>
          <w:iCs/>
        </w:rPr>
        <w:t xml:space="preserve">In re </w:t>
      </w:r>
      <w:proofErr w:type="spellStart"/>
      <w:r>
        <w:rPr>
          <w:i/>
          <w:iCs/>
        </w:rPr>
        <w:t>Alappt</w:t>
      </w:r>
      <w:proofErr w:type="spellEnd"/>
      <w:r>
        <w:t>, where the PTAB’s predecessor court, the BPAI, reversed the patent examiner’s rejection of claims.</w:t>
      </w:r>
      <w:r>
        <w:rPr>
          <w:rStyle w:val="FootnoteReference"/>
        </w:rPr>
        <w:footnoteReference w:id="154"/>
      </w:r>
      <w:r>
        <w:t xml:space="preserve"> An expanded panel of the Board of 8 members considered the request for reconsideration, and issued a new opinion affirming the patent examiner’s opinion, with the original panel members dissenting on the merits.</w:t>
      </w:r>
      <w:r>
        <w:rPr>
          <w:rStyle w:val="FootnoteReference"/>
        </w:rPr>
        <w:footnoteReference w:id="155"/>
      </w:r>
      <w:r>
        <w:t xml:space="preserve"> </w:t>
      </w:r>
      <w:r w:rsidR="00A16497">
        <w:t xml:space="preserve">Further, the PTAB has generally used expanded panels not to change outcomes for particular parties but to set policy, often on procedural matters. For </w:t>
      </w:r>
      <w:proofErr w:type="gramStart"/>
      <w:r w:rsidR="00A16497">
        <w:t>example</w:t>
      </w:r>
      <w:proofErr w:type="gramEnd"/>
      <w:r w:rsidR="00A16497">
        <w:t xml:space="preserve"> in</w:t>
      </w:r>
      <w:r w:rsidR="00A16497">
        <w:rPr>
          <w:i/>
          <w:iCs/>
        </w:rPr>
        <w:t xml:space="preserve"> Target Corp. v. Destination Maternity Corp</w:t>
      </w:r>
      <w:r w:rsidR="00A16497">
        <w:t>., the expanded panel reconsidered the initial panel’s decision on the procedures for joining another party to the case.</w:t>
      </w:r>
      <w:r w:rsidR="00A16497">
        <w:rPr>
          <w:rStyle w:val="FootnoteReference"/>
        </w:rPr>
        <w:footnoteReference w:id="156"/>
      </w:r>
      <w:r w:rsidR="00A16497">
        <w:t xml:space="preserve"> </w:t>
      </w:r>
    </w:p>
    <w:p w14:paraId="2F3F6775" w14:textId="0BAC9E3E" w:rsidR="004A5041" w:rsidRDefault="00A235FA" w:rsidP="002B236A">
      <w:pPr>
        <w:pStyle w:val="NormalWeb"/>
        <w:ind w:firstLine="720"/>
      </w:pPr>
      <w:r>
        <w:t xml:space="preserve">However, use of expanded panels is rare. </w:t>
      </w:r>
      <w:r w:rsidR="00152777" w:rsidRPr="00BD0886">
        <w:t xml:space="preserve">Indeed, most </w:t>
      </w:r>
      <w:proofErr w:type="gramStart"/>
      <w:r w:rsidR="00152777" w:rsidRPr="00BD0886">
        <w:t>patents  litigated</w:t>
      </w:r>
      <w:proofErr w:type="gramEnd"/>
      <w:r w:rsidR="00152777" w:rsidRPr="00BD0886">
        <w:t xml:space="preserve"> at the PTAB that proceed to the merits stage are invalidated in whole or in part anyway, and it does not appear that switching out one panel member for another would necessarily change the </w:t>
      </w:r>
      <w:r w:rsidR="009E52BB">
        <w:t xml:space="preserve">direction of the </w:t>
      </w:r>
      <w:r w:rsidR="00152777" w:rsidRPr="00BD0886">
        <w:t xml:space="preserve">decision. </w:t>
      </w:r>
      <w:r w:rsidR="00A16497">
        <w:t xml:space="preserve">The sheer number of cases in which a high up administrator is placed on the panel as well as the number of cases in which expanded panels are utilized is </w:t>
      </w:r>
      <w:r w:rsidR="003206E7">
        <w:t xml:space="preserve">extremely </w:t>
      </w:r>
      <w:r w:rsidR="00A16497">
        <w:t xml:space="preserve">small in comparison to the total number of cases judged. </w:t>
      </w:r>
      <w:r w:rsidR="00152777" w:rsidRPr="00BD0886">
        <w:t xml:space="preserve">There are </w:t>
      </w:r>
      <w:r w:rsidR="00DC75F6">
        <w:t xml:space="preserve">only </w:t>
      </w:r>
      <w:r w:rsidR="00152777" w:rsidRPr="00BD0886">
        <w:t xml:space="preserve">a handful of cases in which the Director himself, or a Chief Judge, is switched in, at the merits stage. </w:t>
      </w:r>
      <w:r w:rsidR="004A5041">
        <w:t xml:space="preserve">Indeed, there were only 14 cases in which PTO Director Iancu served on a panel, and only 30 in which Scott </w:t>
      </w:r>
      <w:proofErr w:type="spellStart"/>
      <w:r w:rsidR="004A5041">
        <w:t>Boalick</w:t>
      </w:r>
      <w:proofErr w:type="spellEnd"/>
      <w:r w:rsidR="004A5041">
        <w:t xml:space="preserve">, the current Chief Lead Administrative Patent Judge, served. Further, there were only 60 cases in which an expanded </w:t>
      </w:r>
      <w:proofErr w:type="gramStart"/>
      <w:r w:rsidR="004A5041">
        <w:t>four or five member</w:t>
      </w:r>
      <w:proofErr w:type="gramEnd"/>
      <w:r w:rsidR="004A5041">
        <w:t xml:space="preserve"> panel was </w:t>
      </w:r>
      <w:r w:rsidR="004A5041">
        <w:lastRenderedPageBreak/>
        <w:t>used. By themselves, these numbers are misleading</w:t>
      </w:r>
      <w:r w:rsidR="003206E7">
        <w:t xml:space="preserve"> as well</w:t>
      </w:r>
      <w:r w:rsidR="004A5041">
        <w:t xml:space="preserve">. For example, while there were 60 cases </w:t>
      </w:r>
      <w:r>
        <w:t>using an expanded panel</w:t>
      </w:r>
      <w:r w:rsidR="004A5041">
        <w:t xml:space="preserve"> heard the merits, a closer examination reveals that in total only 33 patents were involved in these proceedings, involving about 10 patent owners including Zond (the majority), </w:t>
      </w:r>
      <w:proofErr w:type="spellStart"/>
      <w:r w:rsidR="004A5041">
        <w:t>Opinionlab</w:t>
      </w:r>
      <w:proofErr w:type="spellEnd"/>
      <w:r w:rsidR="004A5041">
        <w:t xml:space="preserve">, Power Survey, </w:t>
      </w:r>
      <w:proofErr w:type="spellStart"/>
      <w:r w:rsidR="004A5041">
        <w:t>Dynaenergetics</w:t>
      </w:r>
      <w:proofErr w:type="spellEnd"/>
      <w:r w:rsidR="004A5041">
        <w:t xml:space="preserve">, Nidec Motor Corp., Crossroads Systems, DSM IP Assets, Avid Technology and </w:t>
      </w:r>
      <w:proofErr w:type="spellStart"/>
      <w:r w:rsidR="004A5041">
        <w:t>Kinglite</w:t>
      </w:r>
      <w:proofErr w:type="spellEnd"/>
      <w:r w:rsidR="004A5041">
        <w:t xml:space="preserve"> Holdings. In all, </w:t>
      </w:r>
      <w:r w:rsidR="0021165D">
        <w:t>40 of the 60 expanded panels involved small companies or PAEs</w:t>
      </w:r>
      <w:r>
        <w:t>, which appears to be one of the common linkages on use of the expanded panel (though there could be more)</w:t>
      </w:r>
      <w:r w:rsidR="0021165D">
        <w:t>.</w:t>
      </w:r>
      <w:r w:rsidR="007A72A0">
        <w:t xml:space="preserve"> Moreover, most of the issues discussed in the expanded panels involved procedural issues such as joinder. </w:t>
      </w:r>
      <w:r w:rsidR="003206E7">
        <w:t>Further</w:t>
      </w:r>
      <w:r w:rsidR="00AB0B42">
        <w:t xml:space="preserve">, when the PTAB chose to use the expanded panel, it designated only 2 cases precedential and none informative. </w:t>
      </w:r>
    </w:p>
    <w:p w14:paraId="258213A3" w14:textId="2FBE170B" w:rsidR="0017729A" w:rsidRDefault="00A16497" w:rsidP="00BD0886">
      <w:pPr>
        <w:pStyle w:val="NormalWeb"/>
        <w:ind w:firstLine="360"/>
      </w:pPr>
      <w:r>
        <w:t xml:space="preserve">Further, the rehearing remedy of which the Director now has discretionary authority to impose rarely results in a case changing on the merits. </w:t>
      </w:r>
      <w:r w:rsidR="00BF4434">
        <w:t>Of the nearly 7,000 patents adjudicated since 2012</w:t>
      </w:r>
      <w:r w:rsidR="00205B7B">
        <w:t xml:space="preserve"> until December 2020</w:t>
      </w:r>
      <w:r w:rsidR="00BF4434">
        <w:t xml:space="preserve">, there were only </w:t>
      </w:r>
      <w:r>
        <w:t>79</w:t>
      </w:r>
      <w:r w:rsidR="00BF4434">
        <w:t xml:space="preserve"> cases in which the revised panel granted the rehearing request; for the most part, nearly all requests to rehear are denied. </w:t>
      </w:r>
      <w:r>
        <w:t>Most rehearing requests (71%) are heard by the same panel that heard the institution phase of the case, with not even the presiding judge changing. Although this number is lower than for overall results</w:t>
      </w:r>
      <w:r w:rsidR="008E27F6">
        <w:t xml:space="preserve"> (a higher number of merits decisions are heard by the same judges – about 80%)</w:t>
      </w:r>
      <w:r>
        <w:t xml:space="preserve">, </w:t>
      </w:r>
      <w:r w:rsidR="00751659">
        <w:t>it is still the case that there were only 17 cases in which the panel changed, only one of these cases was designated “precedential,” and only another two cases were deemed “informative.”</w:t>
      </w:r>
      <w:r w:rsidR="00F66B07">
        <w:rPr>
          <w:rStyle w:val="FootnoteReference"/>
        </w:rPr>
        <w:footnoteReference w:id="157"/>
      </w:r>
      <w:r w:rsidR="00751659">
        <w:t xml:space="preserve"> Moreover, in none of the rehearing requests that were granted did the PTAB use an expanded panel. The </w:t>
      </w:r>
      <w:r w:rsidR="00BF4434">
        <w:t>fact that there are some high profile examples where changes in a panel changes outcomes does not diminish the fact that panel stacking</w:t>
      </w:r>
      <w:r>
        <w:t xml:space="preserve"> and rehearing</w:t>
      </w:r>
      <w:r w:rsidR="00BF4434">
        <w:t xml:space="preserve"> in effect has had little practical effect in changing decisions</w:t>
      </w:r>
      <w:r w:rsidR="00751659">
        <w:t>, and that, for the most part, to the extent such decisions are directed toward establishing rules or setting forth procedures, alternative means such as rulemaking could be a better alternative</w:t>
      </w:r>
    </w:p>
    <w:p w14:paraId="664906B8" w14:textId="452C2434" w:rsidR="00BD0886" w:rsidRPr="00BD0886" w:rsidRDefault="0017729A" w:rsidP="00BD0886">
      <w:pPr>
        <w:pStyle w:val="NormalWeb"/>
      </w:pPr>
      <w:r w:rsidRPr="00BD0886">
        <w:tab/>
        <w:t xml:space="preserve">“Panel stacking” is justified as a means for the Director to speak coherently with the force of law on a needed area of policy so as to provide </w:t>
      </w:r>
      <w:r w:rsidRPr="00BD0886">
        <w:lastRenderedPageBreak/>
        <w:t>policy direction for APJs.</w:t>
      </w:r>
      <w:r w:rsidRPr="00BD0886">
        <w:rPr>
          <w:rStyle w:val="FootnoteReference"/>
        </w:rPr>
        <w:footnoteReference w:id="158"/>
      </w:r>
      <w:r w:rsidRPr="00BD0886">
        <w:t xml:space="preserve"> But panel stacking is a “dubious” method of accomplishing this objective, and one not employed by other administrative agencies like the National Relations Board or Social Security Administration.</w:t>
      </w:r>
      <w:r w:rsidRPr="00BD0886">
        <w:rPr>
          <w:rStyle w:val="FootnoteReference"/>
        </w:rPr>
        <w:footnoteReference w:id="159"/>
      </w:r>
      <w:r w:rsidRPr="00BD0886">
        <w:t xml:space="preserve"> Even the nakedly partisan immigration courts rest on an assumption that cases are randomly assigned.  Panel stacking in effect undermines any vestige of neutral decision-maker. </w:t>
      </w:r>
      <w:r w:rsidR="00F61EC9">
        <w:t xml:space="preserve">Thus, although panel stacking as a practical matter may play only a miniscule role in influencing outcomes in a handful of cases, the very perception that the PTO Director is out to direct outcomes undermines the legitimacy of the process. </w:t>
      </w:r>
      <w:r w:rsidR="00860905">
        <w:t xml:space="preserve">It seems well-advised to switch to random assignment, especially now that the </w:t>
      </w:r>
      <w:r w:rsidR="00860905" w:rsidRPr="000C7533">
        <w:rPr>
          <w:i/>
          <w:iCs/>
        </w:rPr>
        <w:t>Arthrex</w:t>
      </w:r>
      <w:r w:rsidR="00860905">
        <w:t xml:space="preserve"> case makes clear the PTO Director’s discretionary power to rehear cases.</w:t>
      </w:r>
    </w:p>
    <w:p w14:paraId="6E599285" w14:textId="4EDF6CB4" w:rsidR="00860905" w:rsidRDefault="0017729A" w:rsidP="00860905">
      <w:pPr>
        <w:pStyle w:val="NormalWeb"/>
        <w:ind w:firstLine="720"/>
      </w:pPr>
      <w:r w:rsidRPr="00BD0886">
        <w:t>Moreover, reliance on panel stacking as a means of control raises valid due process concerns concerning the predictability</w:t>
      </w:r>
      <w:r w:rsidR="008E27F6">
        <w:t xml:space="preserve">, </w:t>
      </w:r>
      <w:r w:rsidRPr="00BD0886">
        <w:t>uniformity</w:t>
      </w:r>
      <w:r w:rsidR="008E27F6">
        <w:t>,</w:t>
      </w:r>
      <w:r w:rsidRPr="00BD0886">
        <w:t xml:space="preserve"> transparency </w:t>
      </w:r>
      <w:r w:rsidR="008E27F6">
        <w:t xml:space="preserve">and </w:t>
      </w:r>
      <w:r w:rsidRPr="00BD0886">
        <w:t>neutrality</w:t>
      </w:r>
      <w:r w:rsidR="008E27F6">
        <w:t xml:space="preserve"> of APJs</w:t>
      </w:r>
      <w:r w:rsidRPr="00BD0886">
        <w:t>.</w:t>
      </w:r>
      <w:r w:rsidR="00BD0886" w:rsidRPr="00BD0886">
        <w:t xml:space="preserve"> </w:t>
      </w:r>
      <w:r w:rsidRPr="00BD0886">
        <w:t xml:space="preserve">Indeed, given the remedy in </w:t>
      </w:r>
      <w:r w:rsidRPr="00CC10C0">
        <w:rPr>
          <w:i/>
          <w:iCs/>
        </w:rPr>
        <w:t>Arthrex</w:t>
      </w:r>
      <w:r w:rsidRPr="00BD0886">
        <w:t xml:space="preserve">, there really is no continued justification for the Director to continue stacking panels in order to make policy since there are alternative means to accomplish that objective.  The Court in </w:t>
      </w:r>
      <w:r w:rsidRPr="00CC10C0">
        <w:rPr>
          <w:i/>
          <w:iCs/>
        </w:rPr>
        <w:t xml:space="preserve">Arthrex </w:t>
      </w:r>
      <w:r w:rsidRPr="00BD0886">
        <w:t>provide</w:t>
      </w:r>
      <w:r w:rsidR="00CC10C0">
        <w:t>s</w:t>
      </w:r>
      <w:r w:rsidRPr="00BD0886">
        <w:t xml:space="preserve"> an alternative mechanism, the Director’s power to rehear, though it too is not free from problems.  But the Director already has at her disposal another much more traditional mechanism to ensure uniformity – the curation and designation of PTAB opinions as precedential, informative, or representative.</w:t>
      </w:r>
      <w:r w:rsidRPr="00BD0886">
        <w:rPr>
          <w:rStyle w:val="FootnoteReference"/>
        </w:rPr>
        <w:footnoteReference w:id="160"/>
      </w:r>
      <w:r w:rsidRPr="00BD0886">
        <w:t xml:space="preserve">  This mechanism, however, has rarely been employed,</w:t>
      </w:r>
      <w:r w:rsidR="007627FA">
        <w:rPr>
          <w:rStyle w:val="FootnoteReference"/>
        </w:rPr>
        <w:footnoteReference w:id="161"/>
      </w:r>
      <w:r w:rsidRPr="00BD0886">
        <w:t xml:space="preserve"> and to the extent it has been employed, it has </w:t>
      </w:r>
      <w:r w:rsidR="00F61EC9">
        <w:t xml:space="preserve">often </w:t>
      </w:r>
      <w:r w:rsidRPr="00BD0886">
        <w:t xml:space="preserve">been used to make policy with respect to procedural matters. </w:t>
      </w:r>
      <w:r w:rsidR="005D5CB0">
        <w:t xml:space="preserve">Indeed, of </w:t>
      </w:r>
      <w:r w:rsidR="00860905">
        <w:t>the thousands of IPRs</w:t>
      </w:r>
      <w:r w:rsidR="005D5CB0">
        <w:t xml:space="preserve"> over the past 8 years, only</w:t>
      </w:r>
      <w:r w:rsidR="00860905">
        <w:t xml:space="preserve"> 45 were designated precedential, 41 informative; limited to only cases in which the Board reached a decision to institute or a merits decision, only 29 were precedential, 24 informative</w:t>
      </w:r>
      <w:r w:rsidR="005D5CB0">
        <w:t xml:space="preserve">. </w:t>
      </w:r>
      <w:r w:rsidR="00860905">
        <w:t xml:space="preserve">The PTO would be wise to use to use this method if they want to impose greater policy guidance. </w:t>
      </w:r>
    </w:p>
    <w:p w14:paraId="12FA796A" w14:textId="2A86CF73" w:rsidR="00351642" w:rsidRPr="00163FE7" w:rsidRDefault="00BF4434" w:rsidP="00B549BF">
      <w:pPr>
        <w:pStyle w:val="NormalWeb"/>
        <w:ind w:firstLine="360"/>
      </w:pPr>
      <w:r>
        <w:lastRenderedPageBreak/>
        <w:t xml:space="preserve">Moreover, the PTO also has at its disposal a far more effective remedy to make policy: rulemaking. </w:t>
      </w:r>
      <w:r w:rsidRPr="00BD0886">
        <w:t xml:space="preserve">Indeed, the PTO’s reluctance to engage in rulemaking makes </w:t>
      </w:r>
      <w:r w:rsidR="00F61EC9">
        <w:t xml:space="preserve">agency head </w:t>
      </w:r>
      <w:r w:rsidRPr="00BD0886">
        <w:t xml:space="preserve">review </w:t>
      </w:r>
      <w:proofErr w:type="gramStart"/>
      <w:r w:rsidRPr="00BD0886">
        <w:t>all the more</w:t>
      </w:r>
      <w:proofErr w:type="gramEnd"/>
      <w:r w:rsidRPr="00BD0886">
        <w:t xml:space="preserve"> necessary.</w:t>
      </w:r>
      <w:r w:rsidRPr="00BD0886">
        <w:rPr>
          <w:rStyle w:val="FootnoteReference"/>
        </w:rPr>
        <w:footnoteReference w:id="162"/>
      </w:r>
      <w:r w:rsidR="00F61EC9">
        <w:t xml:space="preserve"> But given how weak an instrument agency head review is to ensure consistency, perhaps some of the consistency and stability aims sought to be achieved by the Director playing a role in rehearing cases can be accomplished more efficiently by rulemaking.</w:t>
      </w:r>
      <w:r w:rsidRPr="00BD0886">
        <w:t xml:space="preserve">  The APA divides agency action to type types: adjudication, which is the primary means by which the PTO acts, and rulemaking, which is an agency process for articulating rules of “an agency statement of general or particular applicability and future effect.”</w:t>
      </w:r>
      <w:r w:rsidRPr="00BD0886">
        <w:rPr>
          <w:rStyle w:val="FootnoteReference"/>
        </w:rPr>
        <w:footnoteReference w:id="163"/>
      </w:r>
      <w:r w:rsidRPr="00BD0886">
        <w:t xml:space="preserve"> But this distinction can, at best, be artificial, especially when the agency is using its litigation to essentially make rules.</w:t>
      </w:r>
      <w:r w:rsidRPr="00BD0886">
        <w:rPr>
          <w:rStyle w:val="FootnoteReference"/>
        </w:rPr>
        <w:footnoteReference w:id="164"/>
      </w:r>
      <w:r w:rsidRPr="00BD0886">
        <w:t xml:space="preserve"> Instead of </w:t>
      </w:r>
      <w:r w:rsidR="00F61EC9">
        <w:t xml:space="preserve">relying on the Director’s power to rehear as a mechanism of control and thus </w:t>
      </w:r>
      <w:r w:rsidRPr="00BD0886">
        <w:t xml:space="preserve">giving the Director more power, which as noted above is both dangerous and impractical, the same objectives can be achieved if the PTO simply engaged in more rulemaking to make policy. </w:t>
      </w:r>
      <w:r w:rsidR="00163FE7">
        <w:t xml:space="preserve">Clarification concerning the joinder practices at issue in </w:t>
      </w:r>
      <w:r w:rsidR="00163FE7">
        <w:rPr>
          <w:i/>
          <w:iCs/>
        </w:rPr>
        <w:t>Target</w:t>
      </w:r>
      <w:r w:rsidR="00163FE7">
        <w:t>, for example, could have been better achieved by engaging in notice and comment rulemaking on the issue, instead of manipulating the panel system to try to get at a certain desired outcome. In essence, the PTO can make policy more directly instead of hiding behind closed doors.</w:t>
      </w:r>
    </w:p>
    <w:p w14:paraId="423504A1" w14:textId="116BEE9B" w:rsidR="003420C3" w:rsidRPr="00BD0886" w:rsidRDefault="00335807" w:rsidP="00A540F0">
      <w:pPr>
        <w:pStyle w:val="NormalWeb"/>
        <w:numPr>
          <w:ilvl w:val="0"/>
          <w:numId w:val="46"/>
        </w:numPr>
      </w:pPr>
      <w:r>
        <w:t>Diminish the Power of the PTAB</w:t>
      </w:r>
      <w:r w:rsidR="002A3941">
        <w:t xml:space="preserve"> and/or </w:t>
      </w:r>
      <w:proofErr w:type="gramStart"/>
      <w:r w:rsidR="002A3941">
        <w:t>Streamline</w:t>
      </w:r>
      <w:proofErr w:type="gramEnd"/>
      <w:r w:rsidR="002A3941">
        <w:t xml:space="preserve"> the PTAB’s Power</w:t>
      </w:r>
    </w:p>
    <w:p w14:paraId="79E597DB" w14:textId="3D529807" w:rsidR="003420C3" w:rsidRPr="00BD0886" w:rsidRDefault="003420C3" w:rsidP="003F4965">
      <w:pPr>
        <w:pStyle w:val="NormalWeb"/>
        <w:ind w:firstLine="720"/>
      </w:pPr>
      <w:r w:rsidRPr="00BD0886">
        <w:t xml:space="preserve">Many of these issues raised can be more directly addressed by diminishing the power of the PTAB in general. Currently, the PTAB wields an immense amount of power, and after </w:t>
      </w:r>
      <w:r w:rsidRPr="00CC10C0">
        <w:rPr>
          <w:i/>
          <w:iCs/>
        </w:rPr>
        <w:t>Arthrex</w:t>
      </w:r>
      <w:r w:rsidRPr="00BD0886">
        <w:t xml:space="preserve">, this power is even more concentrated and subject to abuse. </w:t>
      </w:r>
      <w:r w:rsidR="002A3941">
        <w:t xml:space="preserve">A more radical solution would be to fundamentally alter the role that the PTAB plays in patent policy. </w:t>
      </w:r>
      <w:r w:rsidRPr="00BD0886">
        <w:t>Perhaps it is the time to take a step back and reform the PTAB by diminishing its power.</w:t>
      </w:r>
      <w:r w:rsidR="00DC523C" w:rsidRPr="00BD0886">
        <w:t xml:space="preserve"> Change can happen in a few ways. Given the difficulty and complexity of most patent cases, the Supreme Court’s remedy in </w:t>
      </w:r>
      <w:r w:rsidR="00DC523C" w:rsidRPr="00CC10C0">
        <w:rPr>
          <w:i/>
          <w:iCs/>
        </w:rPr>
        <w:t>Arthrex</w:t>
      </w:r>
      <w:r w:rsidR="00DC523C" w:rsidRPr="00BD0886">
        <w:t xml:space="preserve"> – giving the Director the power to rehear- is </w:t>
      </w:r>
      <w:r w:rsidR="00CC10C0">
        <w:t>impractical</w:t>
      </w:r>
      <w:r w:rsidR="00DC523C" w:rsidRPr="00BD0886">
        <w:t xml:space="preserve"> and poses risks of </w:t>
      </w:r>
      <w:r w:rsidR="00DC523C" w:rsidRPr="00BD0886">
        <w:lastRenderedPageBreak/>
        <w:t>greater politicization of the agency itself.  Rather, the PTO can choose to divide this power by having an intermediate appellate body.</w:t>
      </w:r>
      <w:r w:rsidR="00456676" w:rsidRPr="00BD0886">
        <w:t xml:space="preserve"> </w:t>
      </w:r>
      <w:r w:rsidR="00576B12" w:rsidRPr="00BD0886">
        <w:t>The remedy proposed by the Supreme Court – giving the Director the power to rehear cases- is rare among administrative agencies for the simple reason that agencies where the Director has this power tend to be ones where the adjudicatory caseload is low.</w:t>
      </w:r>
      <w:r w:rsidR="00576B12" w:rsidRPr="00BD0886">
        <w:rPr>
          <w:rStyle w:val="FootnoteReference"/>
        </w:rPr>
        <w:footnoteReference w:id="165"/>
      </w:r>
      <w:r w:rsidR="00576B12" w:rsidRPr="00BD0886">
        <w:t xml:space="preserve"> For example, the adjudicatory process at the Department of Energy permits appeal to the Secretary of Energy.</w:t>
      </w:r>
      <w:r w:rsidR="00576B12" w:rsidRPr="00BD0886">
        <w:rPr>
          <w:rStyle w:val="FootnoteReference"/>
        </w:rPr>
        <w:footnoteReference w:id="166"/>
      </w:r>
      <w:r w:rsidR="00576B12" w:rsidRPr="00BD0886">
        <w:t xml:space="preserve"> But the number of cases </w:t>
      </w:r>
      <w:r w:rsidR="000C7533">
        <w:t xml:space="preserve">there </w:t>
      </w:r>
      <w:r w:rsidR="00576B12" w:rsidRPr="00BD0886">
        <w:t>is minuscule; in 2014, for example, there were only about a hundred cases adjudicated, with only a few being appealed to the Secretary.</w:t>
      </w:r>
      <w:r w:rsidR="00576B12" w:rsidRPr="00BD0886">
        <w:rPr>
          <w:rStyle w:val="FootnoteReference"/>
        </w:rPr>
        <w:footnoteReference w:id="167"/>
      </w:r>
      <w:r w:rsidR="00CC10C0">
        <w:t xml:space="preserve"> The PTAB, by contrast, hears thousands of cases in any given year</w:t>
      </w:r>
      <w:r w:rsidR="00062330">
        <w:t xml:space="preserve">. Although the PTAB process would be a discretionary one instead of mandatory as for the DOE, the fact that patents are so valuable could result in almost every loser filing to rehear as a matter of course. </w:t>
      </w:r>
      <w:r w:rsidR="009D170E">
        <w:t xml:space="preserve">The Director would then face a very direct practical problem </w:t>
      </w:r>
      <w:r w:rsidR="00622F7B">
        <w:t xml:space="preserve">with having to have a more streamlined way to ensure that she is able to adequately review the most important decisions. If everyone files to rehear, the PTO Director effectively cannot exercise control. </w:t>
      </w:r>
    </w:p>
    <w:p w14:paraId="687183B1" w14:textId="35761597" w:rsidR="0017411C" w:rsidRDefault="00622F7B" w:rsidP="003F4965">
      <w:pPr>
        <w:pStyle w:val="NormalWeb"/>
        <w:ind w:firstLine="720"/>
      </w:pPr>
      <w:r>
        <w:t xml:space="preserve">The PTO can look to other agencies to figure out a way to cabin the Director’s power. </w:t>
      </w:r>
      <w:r w:rsidR="00456676" w:rsidRPr="00BD0886">
        <w:t xml:space="preserve">For example, immigration courts </w:t>
      </w:r>
      <w:proofErr w:type="gramStart"/>
      <w:r w:rsidR="00456676" w:rsidRPr="00BD0886">
        <w:t>employs</w:t>
      </w:r>
      <w:proofErr w:type="gramEnd"/>
      <w:r w:rsidR="00456676" w:rsidRPr="00BD0886">
        <w:t xml:space="preserve"> non-ALJ adjudicators who are part of the Department of Justice’s Executive Office of Immigration Reform.</w:t>
      </w:r>
      <w:r w:rsidR="008817E5">
        <w:rPr>
          <w:rStyle w:val="FootnoteReference"/>
        </w:rPr>
        <w:footnoteReference w:id="168"/>
      </w:r>
      <w:r w:rsidR="00456676" w:rsidRPr="00BD0886">
        <w:t xml:space="preserve"> Their decisions can be appealed by the noncitizen or government to the Board of Immigration Appeals, with cases at the BIA either being heard by one BIA judge or a panel depending on precedential significance. The head of the DOJ- the Attorney General- has discretionary but final decision-making authority. </w:t>
      </w:r>
      <w:r w:rsidR="008817E5">
        <w:rPr>
          <w:rStyle w:val="FootnoteReference"/>
        </w:rPr>
        <w:footnoteReference w:id="169"/>
      </w:r>
      <w:r w:rsidR="00456676" w:rsidRPr="00BD0886">
        <w:t xml:space="preserve">And, as we saw during </w:t>
      </w:r>
      <w:r w:rsidR="007C1265" w:rsidRPr="00BD0886">
        <w:t xml:space="preserve">both </w:t>
      </w:r>
      <w:r w:rsidR="00456676" w:rsidRPr="00BD0886">
        <w:t xml:space="preserve">the </w:t>
      </w:r>
      <w:r w:rsidR="007C1265" w:rsidRPr="00BD0886">
        <w:t xml:space="preserve">Biden and </w:t>
      </w:r>
      <w:r w:rsidR="00456676" w:rsidRPr="00BD0886">
        <w:t>Trump administration</w:t>
      </w:r>
      <w:r w:rsidR="007C1265" w:rsidRPr="00BD0886">
        <w:t>s</w:t>
      </w:r>
      <w:r w:rsidR="00456676" w:rsidRPr="00BD0886">
        <w:t>, the Attorney General wielded this power to set policy</w:t>
      </w:r>
      <w:r w:rsidR="000C7533">
        <w:t xml:space="preserve"> which in turn influenced immigration court judges</w:t>
      </w:r>
      <w:r w:rsidR="007C1265" w:rsidRPr="00BD0886">
        <w:t>. For example, Attorney General Sessions altered how domestic violence of noncitizens could be considered in cases, with Attorney General Merrick Garland rescinding the decision. Similar to patent law, it is impractical for the Attorney General to supervise the millions of cases that go over every year</w:t>
      </w:r>
      <w:r w:rsidR="009570E4" w:rsidRPr="00BD0886">
        <w:t xml:space="preserve"> so relying on the BIA to serve as a check on the immigration judges </w:t>
      </w:r>
      <w:r w:rsidR="009570E4" w:rsidRPr="00BD0886">
        <w:lastRenderedPageBreak/>
        <w:t>provides an opportunity for error correction</w:t>
      </w:r>
      <w:r w:rsidR="007C1265" w:rsidRPr="00BD0886">
        <w:t xml:space="preserve">. But by providing a clear mechanism to offer policy guidance the Attorney General can help guide decision-making. </w:t>
      </w:r>
    </w:p>
    <w:p w14:paraId="461E80B5" w14:textId="25CB6C00" w:rsidR="00456676" w:rsidRPr="00BD0886" w:rsidRDefault="007C1265" w:rsidP="003F4965">
      <w:pPr>
        <w:pStyle w:val="NormalWeb"/>
        <w:ind w:firstLine="720"/>
      </w:pPr>
      <w:r w:rsidRPr="00BD0886">
        <w:t>Similarly, the PTO Director could utilize a similar process to set policy</w:t>
      </w:r>
      <w:r w:rsidR="008E27F6">
        <w:t>, as noted by Walker and Wasserman.</w:t>
      </w:r>
      <w:r w:rsidR="008E27F6">
        <w:rPr>
          <w:rStyle w:val="FootnoteReference"/>
        </w:rPr>
        <w:footnoteReference w:id="170"/>
      </w:r>
      <w:r w:rsidR="008E27F6">
        <w:t xml:space="preserve"> </w:t>
      </w:r>
      <w:r w:rsidR="009570E4" w:rsidRPr="00BD0886">
        <w:t>The existence of an intermediate body in the process, like in the immigration context, could be a mechanism to correct errors and dim</w:t>
      </w:r>
      <w:r w:rsidR="0017411C">
        <w:t>i</w:t>
      </w:r>
      <w:r w:rsidR="005D5CB0">
        <w:t>nish</w:t>
      </w:r>
      <w:r w:rsidR="009570E4" w:rsidRPr="00BD0886">
        <w:t xml:space="preserve"> the pressure that could be put on the Director to get involved in some cases but not others. Indeed, the pres</w:t>
      </w:r>
      <w:r w:rsidR="0017411C">
        <w:t>ence</w:t>
      </w:r>
      <w:r w:rsidR="009570E4" w:rsidRPr="00BD0886">
        <w:t xml:space="preserve"> of an intermediate body is all the more important in patent law compared to immigration law because the technical nature of cases </w:t>
      </w:r>
      <w:proofErr w:type="gramStart"/>
      <w:r w:rsidR="009570E4" w:rsidRPr="00BD0886">
        <w:t>are</w:t>
      </w:r>
      <w:proofErr w:type="gramEnd"/>
      <w:r w:rsidR="009570E4" w:rsidRPr="00BD0886">
        <w:t xml:space="preserve"> so complex.</w:t>
      </w:r>
      <w:r w:rsidR="0017411C">
        <w:t xml:space="preserve"> An intermediate Board would lessen the demands on the Director by facilitating the identification of cases where policy guidance is necessary. Congress could even require that the intermediate body certify questions to the Director, as is the case with the Federal Communications Commission, by providing a notice and comment period giving the public further input into the process.</w:t>
      </w:r>
      <w:r w:rsidR="0017411C">
        <w:rPr>
          <w:rStyle w:val="FootnoteReference"/>
        </w:rPr>
        <w:footnoteReference w:id="171"/>
      </w:r>
    </w:p>
    <w:p w14:paraId="32169302" w14:textId="21B6FED5" w:rsidR="0017729A" w:rsidRDefault="00DC523C" w:rsidP="005D5CB0">
      <w:pPr>
        <w:pStyle w:val="NormalWeb"/>
        <w:ind w:firstLine="720"/>
      </w:pPr>
      <w:r w:rsidRPr="00BD0886">
        <w:t xml:space="preserve">Further, the agency can do much to deal with the balance between courts and the agency in adjudicating patent rights. As it exists now, a third party challenging a patent can challenge validity before the PTAB or file a declaratory judgment action in the district court. Most patents are still challenged in district court, and over 80% of patents litigated at the PTAB have a companion district court proceeding. The fact that there </w:t>
      </w:r>
      <w:r w:rsidR="00DB5F4E">
        <w:t>are</w:t>
      </w:r>
      <w:r w:rsidRPr="00BD0886">
        <w:t xml:space="preserve"> even concurrent proceedings </w:t>
      </w:r>
      <w:r w:rsidR="00B82024" w:rsidRPr="00BD0886">
        <w:t>in the district court is rare in the administrative state.</w:t>
      </w:r>
      <w:r w:rsidR="00B82024" w:rsidRPr="00BD0886">
        <w:rPr>
          <w:rStyle w:val="FootnoteReference"/>
        </w:rPr>
        <w:footnoteReference w:id="172"/>
      </w:r>
      <w:r w:rsidR="00B82024" w:rsidRPr="00BD0886">
        <w:t xml:space="preserve"> For example when judging whether private benefits should be awarded, courts only get involved once there is a final agency action to review.</w:t>
      </w:r>
      <w:r w:rsidR="00B82024" w:rsidRPr="00BD0886">
        <w:rPr>
          <w:rStyle w:val="FootnoteReference"/>
        </w:rPr>
        <w:footnoteReference w:id="173"/>
      </w:r>
      <w:r w:rsidR="00335807">
        <w:t xml:space="preserve"> The PTO’s increased tendency to now exercise its discretion to institute an IPR when litigation is far enough along only injects uncertainty into the system. Congress should either amend the law to provide that district court decisions be stayed pending the outcome of an IPR, or else the PTO should issue more clear guidelines eliminating the ability of the PTAB </w:t>
      </w:r>
      <w:r w:rsidR="00335807">
        <w:lastRenderedPageBreak/>
        <w:t>to exercise discretion whether a panel judges that a district court proceeding is “far enough along.” The PTAB is trying to have it both ways</w:t>
      </w:r>
      <w:r w:rsidR="00B755DE">
        <w:t xml:space="preserve"> by </w:t>
      </w:r>
      <w:r w:rsidR="00335807">
        <w:t>providing both the agency and the courts as forums to litigate. But perhaps offering a clear choice would be a better solution.</w:t>
      </w:r>
    </w:p>
    <w:p w14:paraId="47D919CD" w14:textId="2D2B19E0" w:rsidR="00A14875" w:rsidRDefault="00335807" w:rsidP="00E867A5">
      <w:pPr>
        <w:pStyle w:val="NormalWeb"/>
        <w:ind w:firstLine="720"/>
      </w:pPr>
      <w:r>
        <w:t xml:space="preserve">Further, the role of the PTAB could also be </w:t>
      </w:r>
      <w:r w:rsidR="00B755DE">
        <w:t xml:space="preserve">dramatically </w:t>
      </w:r>
      <w:r>
        <w:t>changed.  As Christopher Walker opined, the PTAB can perhaps be seen as an “adjunct” to the district courts.</w:t>
      </w:r>
      <w:r>
        <w:rPr>
          <w:rStyle w:val="FootnoteReference"/>
        </w:rPr>
        <w:footnoteReference w:id="174"/>
      </w:r>
      <w:r>
        <w:t xml:space="preserve"> To be an “adjunct,” Congress would have to limit adjudication to agencies that “oversee particular federal regimes,” with the agency adjudicator having only “limited authority to make specialized, narrowly confined factual determinations regarding a specialized area of law.”</w:t>
      </w:r>
      <w:r>
        <w:rPr>
          <w:rStyle w:val="FootnoteReference"/>
        </w:rPr>
        <w:footnoteReference w:id="175"/>
      </w:r>
      <w:r>
        <w:t xml:space="preserve"> In addition, the agency must have the authority to “issues orders that could only be enforced by action of the District Court.”</w:t>
      </w:r>
      <w:r>
        <w:rPr>
          <w:rStyle w:val="FootnoteReference"/>
        </w:rPr>
        <w:footnoteReference w:id="176"/>
      </w:r>
      <w:r w:rsidR="00F8784F">
        <w:t xml:space="preserve"> In the patent law context, rather than ruling on patent validity in total, the expertise of the PTAB could be leveraged so as to make certain factual determinations such as on claim construction or concerning whether a given piece of art qualifies as prior art. This, of course, is a more radical solution to reform of the PTAB, but it necessarily leverages the PTAB’s strength – its expert workforce – while at the same time restoring some of the balance to the district courts to resolve most validity determinations in full, relying on the expertise of the PTO to help guide its decision-making. </w:t>
      </w:r>
      <w:r w:rsidR="00E867A5">
        <w:t>In other words, simply have the PTAB have a reduced role.</w:t>
      </w:r>
    </w:p>
    <w:p w14:paraId="5EA5BABF" w14:textId="77777777" w:rsidR="00A14875" w:rsidRDefault="00A14875" w:rsidP="00A14875">
      <w:pPr>
        <w:pStyle w:val="ListParagraph"/>
        <w:numPr>
          <w:ilvl w:val="0"/>
          <w:numId w:val="30"/>
        </w:numPr>
      </w:pPr>
      <w:r>
        <w:t>Conclusion</w:t>
      </w:r>
    </w:p>
    <w:p w14:paraId="23D8CFF6" w14:textId="4FAEE735" w:rsidR="000C7533" w:rsidRDefault="00A14875" w:rsidP="000C7533">
      <w:pPr>
        <w:widowControl/>
        <w:spacing w:before="100" w:beforeAutospacing="1" w:after="100" w:afterAutospacing="1"/>
        <w:jc w:val="left"/>
        <w:rPr>
          <w:rFonts w:ascii="Times New Roman" w:hAnsi="Times New Roman"/>
          <w:color w:val="000000"/>
          <w:szCs w:val="24"/>
        </w:rPr>
      </w:pPr>
      <w:r>
        <w:t xml:space="preserve">Empirical examination of how the PTAB works offers insight into how the patent system can best be reformed. </w:t>
      </w:r>
      <w:r w:rsidRPr="00E45F6A">
        <w:rPr>
          <w:rFonts w:ascii="Times New Roman" w:hAnsi="Times New Roman"/>
          <w:color w:val="000000"/>
          <w:szCs w:val="24"/>
        </w:rPr>
        <w:t xml:space="preserve">The preliminary findings indicate that biotechnology inventions are much less likely to be instituted and found invalid compared to other technology classes. In addition, corporate petitioners and status as a small practicing entity or non-practicing entity patentee may result in a greater institution </w:t>
      </w:r>
      <w:proofErr w:type="gramStart"/>
      <w:r w:rsidRPr="00E45F6A">
        <w:rPr>
          <w:rFonts w:ascii="Times New Roman" w:hAnsi="Times New Roman"/>
          <w:color w:val="000000"/>
          <w:szCs w:val="24"/>
        </w:rPr>
        <w:t>rate, but</w:t>
      </w:r>
      <w:proofErr w:type="gramEnd"/>
      <w:r w:rsidRPr="00E45F6A">
        <w:rPr>
          <w:rFonts w:ascii="Times New Roman" w:hAnsi="Times New Roman"/>
          <w:color w:val="000000"/>
          <w:szCs w:val="24"/>
        </w:rPr>
        <w:t xml:space="preserve"> is not statistically significant in predicting whether the patent’s claim are held invalid. A presiding judge’s prior employment history generally does not impact the PTAB’s decisions, though geographic location of the presider does seem to impact decisions. Presiding judges living in Colorado are </w:t>
      </w:r>
      <w:r>
        <w:rPr>
          <w:rFonts w:ascii="Times New Roman" w:hAnsi="Times New Roman"/>
          <w:color w:val="000000"/>
          <w:szCs w:val="24"/>
        </w:rPr>
        <w:t>more</w:t>
      </w:r>
      <w:r w:rsidRPr="00E45F6A">
        <w:rPr>
          <w:rFonts w:ascii="Times New Roman" w:hAnsi="Times New Roman"/>
          <w:color w:val="000000"/>
          <w:szCs w:val="24"/>
        </w:rPr>
        <w:t xml:space="preserve"> likely to institute while judges in Texas are more likely to uphold the validity of the patent’s claims. In addition, switching the presiding judge from the </w:t>
      </w:r>
      <w:r w:rsidRPr="00E45F6A">
        <w:rPr>
          <w:rFonts w:ascii="Times New Roman" w:hAnsi="Times New Roman"/>
          <w:color w:val="000000"/>
          <w:szCs w:val="24"/>
        </w:rPr>
        <w:lastRenderedPageBreak/>
        <w:t xml:space="preserve">institution phase to the merits phase results in a lessened chance of the patent being found invalid. Finally, wordy patent claims are less likely to be instituted, though this variable does not seem to impact the merits decision. </w:t>
      </w:r>
    </w:p>
    <w:p w14:paraId="24A3A72C" w14:textId="0D53AE87" w:rsidR="003C6226" w:rsidRPr="000C7533" w:rsidRDefault="0051691F" w:rsidP="000C7533">
      <w:pPr>
        <w:widowControl/>
        <w:spacing w:before="100" w:beforeAutospacing="1" w:after="100" w:afterAutospacing="1"/>
        <w:jc w:val="left"/>
        <w:rPr>
          <w:rFonts w:ascii="Times New Roman" w:hAnsi="Times New Roman"/>
          <w:color w:val="000000"/>
          <w:szCs w:val="24"/>
        </w:rPr>
      </w:pPr>
      <w:r>
        <w:t xml:space="preserve">The Supreme Court’s recent decision in </w:t>
      </w:r>
      <w:r w:rsidRPr="00E44F7B">
        <w:rPr>
          <w:i/>
          <w:iCs/>
        </w:rPr>
        <w:t>Arthrex</w:t>
      </w:r>
      <w:r>
        <w:t xml:space="preserve"> regarding how the PTAB makes decisions opens up the opportunity to discuss the broader question of how the PTAB should be reformed and what role it should play in the patent system. </w:t>
      </w:r>
      <w:r w:rsidR="00E44F7B">
        <w:t>Giving the PTO Director more power is both impractical and may needlessly interject politics into patent law decision-making. Rather, the PTO would be wise to consider what role that the PTAB should play in patent law disputes. The PTAB, for example, can be reconfigured to look more like the administrative adjudicators of other administrative agencies by changing who decides PTAB cases. Further, instead of relying on panel stacking, the PTO Director could now more directly exert her policymaking role by employing the rulemaking power or more frequently designating opinions as precedential. Finally, the question remains on whether the PTAB has amassed too much power, particularly unreviewable power, at the expense of the courts. The time may be ripe to try to reign in the PTAB by interjecting an intermediate appellate adjudicator body to review decisions or for the</w:t>
      </w:r>
      <w:r w:rsidR="00B755DE">
        <w:t xml:space="preserve"> range of</w:t>
      </w:r>
      <w:r w:rsidR="00E44F7B">
        <w:t xml:space="preserve"> issues that the PTAB decides to be </w:t>
      </w:r>
      <w:r w:rsidR="00B755DE">
        <w:t xml:space="preserve">more limited </w:t>
      </w:r>
      <w:r w:rsidR="00E44F7B">
        <w:t xml:space="preserve">with the PTAB serving more of </w:t>
      </w:r>
      <w:proofErr w:type="gramStart"/>
      <w:r w:rsidR="00E44F7B">
        <w:t>an</w:t>
      </w:r>
      <w:proofErr w:type="gramEnd"/>
      <w:r w:rsidR="00E44F7B">
        <w:t xml:space="preserve"> </w:t>
      </w:r>
      <w:r w:rsidR="00B755DE">
        <w:t xml:space="preserve">voluntary </w:t>
      </w:r>
      <w:r w:rsidR="00E44F7B">
        <w:t>adjunct rather than as a binding substitute for district court litigation.</w:t>
      </w:r>
    </w:p>
    <w:sectPr w:rsidR="003C6226" w:rsidRPr="000C7533" w:rsidSect="00BB10CC">
      <w:headerReference w:type="default" r:id="rId22"/>
      <w:footerReference w:type="even" r:id="rId23"/>
      <w:footerReference w:type="default" r:id="rId24"/>
      <w:pgSz w:w="12240" w:h="15840" w:code="1"/>
      <w:pgMar w:top="2016" w:right="2448" w:bottom="2016" w:left="2448" w:header="1512"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93056" w14:textId="77777777" w:rsidR="00533860" w:rsidRDefault="00533860">
      <w:r>
        <w:separator/>
      </w:r>
    </w:p>
  </w:endnote>
  <w:endnote w:type="continuationSeparator" w:id="0">
    <w:p w14:paraId="3033E489" w14:textId="77777777" w:rsidR="00533860" w:rsidRDefault="00533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G Times">
    <w:altName w:val="Times New Roman"/>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73534339"/>
      <w:docPartObj>
        <w:docPartGallery w:val="Page Numbers (Bottom of Page)"/>
        <w:docPartUnique/>
      </w:docPartObj>
    </w:sdtPr>
    <w:sdtContent>
      <w:p w14:paraId="1C550237" w14:textId="7F41B852" w:rsidR="00D83731" w:rsidRDefault="00D83731" w:rsidP="002234D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5B7EEE8" w14:textId="77777777" w:rsidR="00D83731" w:rsidRDefault="00D837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6316019"/>
      <w:docPartObj>
        <w:docPartGallery w:val="Page Numbers (Bottom of Page)"/>
        <w:docPartUnique/>
      </w:docPartObj>
    </w:sdtPr>
    <w:sdtContent>
      <w:p w14:paraId="05442289" w14:textId="6B7EC0E2" w:rsidR="00D83731" w:rsidRDefault="00D83731" w:rsidP="002234D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7DBC5E8" w14:textId="77777777" w:rsidR="00D83731" w:rsidRDefault="00D837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88CF7" w14:textId="77777777" w:rsidR="00533860" w:rsidRDefault="00533860">
      <w:r>
        <w:separator/>
      </w:r>
    </w:p>
  </w:footnote>
  <w:footnote w:type="continuationSeparator" w:id="0">
    <w:p w14:paraId="7A47FA63" w14:textId="77777777" w:rsidR="00533860" w:rsidRDefault="00533860">
      <w:r>
        <w:continuationSeparator/>
      </w:r>
    </w:p>
  </w:footnote>
  <w:footnote w:id="1">
    <w:p w14:paraId="1ECE6996" w14:textId="5D35E14C" w:rsidR="00352ACA" w:rsidRPr="008971D9" w:rsidRDefault="00352ACA" w:rsidP="00352ACA">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United States v. Arthrex, 594 U.S. _ (2021).</w:t>
      </w:r>
    </w:p>
  </w:footnote>
  <w:footnote w:id="2">
    <w:p w14:paraId="22F7B828" w14:textId="46D9ABAE" w:rsidR="00E038FA" w:rsidRPr="008971D9" w:rsidRDefault="00E038FA" w:rsidP="00E038FA">
      <w:pPr>
        <w:widowControl/>
        <w:spacing w:before="100" w:beforeAutospacing="1" w:after="100" w:afterAutospacing="1"/>
        <w:ind w:firstLine="0"/>
        <w:jc w:val="left"/>
        <w:rPr>
          <w:rFonts w:ascii="Times New Roman" w:hAnsi="Times New Roman"/>
          <w:color w:val="000000"/>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Pr="008971D9">
        <w:rPr>
          <w:rFonts w:ascii="Times New Roman" w:hAnsi="Times New Roman"/>
          <w:i/>
          <w:iCs/>
          <w:color w:val="000000"/>
          <w:sz w:val="18"/>
          <w:szCs w:val="18"/>
        </w:rPr>
        <w:t>Arthrex</w:t>
      </w:r>
      <w:r w:rsidRPr="008971D9">
        <w:rPr>
          <w:rFonts w:ascii="Times New Roman" w:hAnsi="Times New Roman"/>
          <w:color w:val="000000"/>
          <w:sz w:val="18"/>
          <w:szCs w:val="18"/>
        </w:rPr>
        <w:t>, indeed, was the second constitutional challenge to the PTAB in the last few years.</w:t>
      </w:r>
      <w:r w:rsidR="00940630" w:rsidRPr="008971D9">
        <w:rPr>
          <w:rFonts w:ascii="Times New Roman" w:hAnsi="Times New Roman"/>
          <w:color w:val="000000"/>
          <w:sz w:val="18"/>
          <w:szCs w:val="18"/>
        </w:rPr>
        <w:t xml:space="preserve"> </w:t>
      </w:r>
    </w:p>
  </w:footnote>
  <w:footnote w:id="3">
    <w:p w14:paraId="119FCC51" w14:textId="75975E56" w:rsidR="00352ACA" w:rsidRPr="008971D9" w:rsidRDefault="00352ACA" w:rsidP="008A23CA">
      <w:pPr>
        <w:pStyle w:val="NormalWeb"/>
        <w:rPr>
          <w:sz w:val="18"/>
          <w:szCs w:val="18"/>
        </w:rPr>
      </w:pPr>
      <w:r w:rsidRPr="008971D9">
        <w:rPr>
          <w:rStyle w:val="FootnoteReference"/>
          <w:sz w:val="18"/>
          <w:szCs w:val="18"/>
        </w:rPr>
        <w:footnoteRef/>
      </w:r>
      <w:r w:rsidRPr="008971D9">
        <w:rPr>
          <w:sz w:val="18"/>
          <w:szCs w:val="18"/>
        </w:rPr>
        <w:t xml:space="preserve"> U.S. CONST. art. II, § 2, cl. 2 (The President “shall nominate, and by and with the Advice and Consent of the Senate, shall appoint . . . . all other Officers of the United States, whose Appointments are not herein otherwise provided for, and which shall be established by Law: but the Congress may by Law vest the Appointment of such inferior Officers, as they think proper, in the President alone, in the Courts of Law, or in the Heads of Departments.”) The Appointments Clause distinguishes between “principal Officers,” who must be appointed by the President with Senate confirmation, and “inferior Officers,” who may be appointed by the President alone, Courts of Law, or Heads of Departments if Congress pe</w:t>
      </w:r>
      <w:r w:rsidR="008A23CA" w:rsidRPr="008971D9">
        <w:rPr>
          <w:sz w:val="18"/>
          <w:szCs w:val="18"/>
        </w:rPr>
        <w:t>r</w:t>
      </w:r>
      <w:r w:rsidRPr="008971D9">
        <w:rPr>
          <w:sz w:val="18"/>
          <w:szCs w:val="18"/>
        </w:rPr>
        <w:t xml:space="preserve">mits by statute. </w:t>
      </w:r>
    </w:p>
  </w:footnote>
  <w:footnote w:id="4">
    <w:p w14:paraId="680CAB9D" w14:textId="5A61D8CA" w:rsidR="007C324A" w:rsidRPr="008971D9" w:rsidRDefault="008A23CA" w:rsidP="007C324A">
      <w:pPr>
        <w:pStyle w:val="NormalWeb"/>
        <w:rPr>
          <w:sz w:val="18"/>
          <w:szCs w:val="18"/>
        </w:rPr>
      </w:pPr>
      <w:r w:rsidRPr="008971D9">
        <w:rPr>
          <w:rStyle w:val="FootnoteReference"/>
          <w:sz w:val="18"/>
          <w:szCs w:val="18"/>
        </w:rPr>
        <w:footnoteRef/>
      </w:r>
      <w:r w:rsidRPr="008971D9">
        <w:rPr>
          <w:sz w:val="18"/>
          <w:szCs w:val="18"/>
        </w:rPr>
        <w:t xml:space="preserve"> </w:t>
      </w:r>
      <w:r w:rsidR="007C324A" w:rsidRPr="008971D9">
        <w:rPr>
          <w:sz w:val="18"/>
          <w:szCs w:val="18"/>
        </w:rPr>
        <w:t xml:space="preserve">The Supreme Court also recently held in Oil States Energy Services v. Green’s Energy Group that patent grants involve public rights and that adjudicating those rights without the Seventh Amendment right </w:t>
      </w:r>
      <w:r w:rsidR="008971D9">
        <w:rPr>
          <w:sz w:val="18"/>
          <w:szCs w:val="18"/>
        </w:rPr>
        <w:t>t</w:t>
      </w:r>
      <w:r w:rsidR="007C324A" w:rsidRPr="008971D9">
        <w:rPr>
          <w:sz w:val="18"/>
          <w:szCs w:val="18"/>
        </w:rPr>
        <w:t>o a jury trial is nonetheless still constitutional.</w:t>
      </w:r>
    </w:p>
    <w:p w14:paraId="5BE8FC68" w14:textId="492082B9" w:rsidR="008A23CA" w:rsidRPr="008971D9" w:rsidRDefault="008A23CA" w:rsidP="008A23CA">
      <w:pPr>
        <w:pStyle w:val="FootnoteText"/>
        <w:ind w:firstLine="0"/>
        <w:rPr>
          <w:sz w:val="18"/>
          <w:szCs w:val="18"/>
        </w:rPr>
      </w:pPr>
    </w:p>
  </w:footnote>
  <w:footnote w:id="5">
    <w:p w14:paraId="60251EEA" w14:textId="22C244FB" w:rsidR="00B05F31" w:rsidRPr="008971D9" w:rsidRDefault="00B05F31" w:rsidP="00937629">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Pr="008971D9">
        <w:rPr>
          <w:rFonts w:ascii="Times New Roman" w:hAnsi="Times New Roman"/>
          <w:i/>
          <w:iCs/>
          <w:sz w:val="18"/>
          <w:szCs w:val="18"/>
        </w:rPr>
        <w:t>Id.</w:t>
      </w:r>
    </w:p>
  </w:footnote>
  <w:footnote w:id="6">
    <w:p w14:paraId="544929CA" w14:textId="5DEA5908" w:rsidR="00A415EC" w:rsidRPr="008971D9" w:rsidRDefault="00A415EC" w:rsidP="002B72E2">
      <w:pPr>
        <w:pStyle w:val="NormalWeb"/>
        <w:rPr>
          <w:sz w:val="18"/>
          <w:szCs w:val="18"/>
        </w:rPr>
      </w:pPr>
      <w:r w:rsidRPr="008971D9">
        <w:rPr>
          <w:rStyle w:val="FootnoteReference"/>
          <w:sz w:val="18"/>
          <w:szCs w:val="18"/>
        </w:rPr>
        <w:footnoteRef/>
      </w:r>
      <w:r w:rsidRPr="008971D9">
        <w:rPr>
          <w:sz w:val="18"/>
          <w:szCs w:val="18"/>
        </w:rPr>
        <w:t xml:space="preserve"> Leahy-Smith America Invents Act, Pub. L. No. 112–29, 125 Stat. 284 (2011) (codified in scattered sections of 35 U.S.C.). </w:t>
      </w:r>
    </w:p>
  </w:footnote>
  <w:footnote w:id="7">
    <w:p w14:paraId="115AF677" w14:textId="18123D35" w:rsidR="00EE4EBE" w:rsidRPr="008971D9" w:rsidRDefault="00EE4EBE" w:rsidP="002B72E2">
      <w:pPr>
        <w:pStyle w:val="NormalWeb"/>
        <w:rPr>
          <w:sz w:val="18"/>
          <w:szCs w:val="18"/>
        </w:rPr>
      </w:pPr>
      <w:r w:rsidRPr="008971D9">
        <w:rPr>
          <w:rStyle w:val="FootnoteReference"/>
          <w:sz w:val="18"/>
          <w:szCs w:val="18"/>
        </w:rPr>
        <w:footnoteRef/>
      </w:r>
      <w:r w:rsidRPr="008971D9">
        <w:rPr>
          <w:sz w:val="18"/>
          <w:szCs w:val="18"/>
        </w:rPr>
        <w:t xml:space="preserve"> Leahy–Smith America Invents Act § 7(a). This Article focuses primarily on the </w:t>
      </w:r>
      <w:r w:rsidRPr="008971D9">
        <w:rPr>
          <w:i/>
          <w:iCs/>
          <w:sz w:val="18"/>
          <w:szCs w:val="18"/>
        </w:rPr>
        <w:t>inter partes</w:t>
      </w:r>
      <w:r w:rsidRPr="008971D9">
        <w:rPr>
          <w:sz w:val="18"/>
          <w:szCs w:val="18"/>
        </w:rPr>
        <w:t xml:space="preserve"> review proceedings in the empirical analysis. </w:t>
      </w:r>
    </w:p>
  </w:footnote>
  <w:footnote w:id="8">
    <w:p w14:paraId="69ADE14F" w14:textId="0EC2CE55" w:rsidR="00EE4EBE" w:rsidRDefault="00EE4EBE"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Pr="008971D9">
        <w:rPr>
          <w:rFonts w:ascii="Times New Roman" w:hAnsi="Times New Roman"/>
          <w:i/>
          <w:iCs/>
          <w:sz w:val="18"/>
          <w:szCs w:val="18"/>
        </w:rPr>
        <w:t>See, e.g.</w:t>
      </w:r>
      <w:r w:rsidRPr="008971D9">
        <w:rPr>
          <w:rFonts w:ascii="Times New Roman" w:hAnsi="Times New Roman"/>
          <w:sz w:val="18"/>
          <w:szCs w:val="18"/>
        </w:rPr>
        <w:t xml:space="preserve">, H.R. Rep. No. 112-98 (2011). Specifically the AIA’s legislative history pointed out that PTAB proceedings would be “quick and cost effective alternatives to litigation.” </w:t>
      </w:r>
      <w:r w:rsidRPr="008971D9">
        <w:rPr>
          <w:rFonts w:ascii="Times New Roman" w:hAnsi="Times New Roman"/>
          <w:i/>
          <w:iCs/>
          <w:sz w:val="18"/>
          <w:szCs w:val="18"/>
        </w:rPr>
        <w:t>Id.</w:t>
      </w:r>
      <w:r w:rsidRPr="008971D9">
        <w:rPr>
          <w:rFonts w:ascii="Times New Roman" w:hAnsi="Times New Roman"/>
          <w:sz w:val="18"/>
          <w:szCs w:val="18"/>
        </w:rPr>
        <w:t xml:space="preserve"> The history also revealed that the procedures would allow the PTO to redeem itself by quickly fixing mistaken patents early “before they disrupt an entire industry or result in expensive litigation.” Cong. Rec. Vol. 157, No. 33 (2011); </w:t>
      </w:r>
      <w:r w:rsidRPr="008971D9">
        <w:rPr>
          <w:rFonts w:ascii="Times New Roman" w:hAnsi="Times New Roman"/>
          <w:i/>
          <w:iCs/>
          <w:sz w:val="18"/>
          <w:szCs w:val="18"/>
        </w:rPr>
        <w:t>see also</w:t>
      </w:r>
      <w:r w:rsidRPr="008971D9">
        <w:rPr>
          <w:rFonts w:ascii="Times New Roman" w:hAnsi="Times New Roman"/>
          <w:sz w:val="18"/>
          <w:szCs w:val="18"/>
        </w:rPr>
        <w:t xml:space="preserve"> Joseph Farrell &amp; Robert P. Merges, </w:t>
      </w:r>
      <w:r w:rsidRPr="008971D9">
        <w:rPr>
          <w:rFonts w:ascii="Times New Roman" w:hAnsi="Times New Roman"/>
          <w:i/>
          <w:iCs/>
          <w:sz w:val="18"/>
          <w:szCs w:val="18"/>
        </w:rPr>
        <w:t>Incentives to Challenge and Defend Patents: Why Litigation Won’t Reliably Fix Patent Office Errors and Why Administrative Patent Reform Might Help</w:t>
      </w:r>
      <w:r w:rsidRPr="008971D9">
        <w:rPr>
          <w:rFonts w:ascii="Times New Roman" w:hAnsi="Times New Roman"/>
          <w:sz w:val="18"/>
          <w:szCs w:val="18"/>
        </w:rPr>
        <w:t xml:space="preserve">, 19 </w:t>
      </w:r>
      <w:r w:rsidRPr="008971D9">
        <w:rPr>
          <w:rFonts w:ascii="Times New Roman" w:hAnsi="Times New Roman"/>
          <w:smallCaps/>
          <w:sz w:val="18"/>
          <w:szCs w:val="18"/>
        </w:rPr>
        <w:t>Berkeley Tech. L. J.</w:t>
      </w:r>
      <w:r w:rsidRPr="008971D9">
        <w:rPr>
          <w:rFonts w:ascii="Times New Roman" w:hAnsi="Times New Roman"/>
          <w:sz w:val="18"/>
          <w:szCs w:val="18"/>
        </w:rPr>
        <w:t xml:space="preserve"> 943, 965 (2004); Stuart J.H. Graham &amp; Dietmar Harhoff, </w:t>
      </w:r>
      <w:r w:rsidRPr="008971D9">
        <w:rPr>
          <w:rFonts w:ascii="Times New Roman" w:hAnsi="Times New Roman"/>
          <w:i/>
          <w:iCs/>
          <w:sz w:val="18"/>
          <w:szCs w:val="18"/>
        </w:rPr>
        <w:t>Separating Patent Wheat from the Chaff: Would the U.S. Benefit from Adopting a Patent Post-Grant Review?</w:t>
      </w:r>
      <w:r w:rsidRPr="008971D9">
        <w:rPr>
          <w:rFonts w:ascii="Times New Roman" w:hAnsi="Times New Roman"/>
          <w:sz w:val="18"/>
          <w:szCs w:val="18"/>
        </w:rPr>
        <w:t xml:space="preserve"> 43 </w:t>
      </w:r>
      <w:r w:rsidRPr="008971D9">
        <w:rPr>
          <w:rFonts w:ascii="Times New Roman" w:hAnsi="Times New Roman"/>
          <w:smallCaps/>
          <w:sz w:val="18"/>
          <w:szCs w:val="18"/>
        </w:rPr>
        <w:t>Research Policy</w:t>
      </w:r>
      <w:r w:rsidRPr="008971D9">
        <w:rPr>
          <w:rFonts w:ascii="Times New Roman" w:hAnsi="Times New Roman"/>
          <w:sz w:val="18"/>
          <w:szCs w:val="18"/>
        </w:rPr>
        <w:t xml:space="preserve"> 1649 (2014).</w:t>
      </w:r>
    </w:p>
    <w:p w14:paraId="62724F92" w14:textId="77777777" w:rsidR="00A05AD6" w:rsidRPr="008971D9" w:rsidRDefault="00A05AD6" w:rsidP="002B72E2">
      <w:pPr>
        <w:pStyle w:val="FootnoteText"/>
        <w:ind w:firstLine="0"/>
        <w:rPr>
          <w:rFonts w:ascii="Times New Roman" w:hAnsi="Times New Roman"/>
          <w:sz w:val="18"/>
          <w:szCs w:val="18"/>
        </w:rPr>
      </w:pPr>
    </w:p>
  </w:footnote>
  <w:footnote w:id="9">
    <w:p w14:paraId="3753F3C0" w14:textId="56C95EA7" w:rsidR="008535D0" w:rsidRPr="008971D9" w:rsidRDefault="008535D0" w:rsidP="008971D9">
      <w:pPr>
        <w:pStyle w:val="FootnoteText"/>
        <w:ind w:firstLine="0"/>
        <w:rPr>
          <w:sz w:val="18"/>
          <w:szCs w:val="18"/>
        </w:rPr>
      </w:pPr>
      <w:r w:rsidRPr="008971D9">
        <w:rPr>
          <w:rStyle w:val="FootnoteReference"/>
          <w:sz w:val="18"/>
          <w:szCs w:val="18"/>
        </w:rPr>
        <w:footnoteRef/>
      </w:r>
      <w:r w:rsidRPr="008971D9">
        <w:rPr>
          <w:sz w:val="18"/>
          <w:szCs w:val="18"/>
        </w:rPr>
        <w:t xml:space="preserve"> Notably, only certain types of validity challenges can be brought in PTAB proceedings. Questions concerning whether the invention involves patentable subject matter (section 101 challenges), a fruitful area of inquiry in the district courts, cannot be resolved in IPR proceedings. Moreover, only validity (anticipation and obviousness claims) based on documentary prior art can be made in IPR proceedings. Claims of invalidity based on public use or the on sale bar, for example, can only be brought in district courts. There are some limited exceptions for PTAB non-IPR proceedings. </w:t>
      </w:r>
      <w:r w:rsidRPr="008971D9">
        <w:rPr>
          <w:i/>
          <w:iCs/>
          <w:sz w:val="18"/>
          <w:szCs w:val="18"/>
        </w:rPr>
        <w:t>See infra</w:t>
      </w:r>
      <w:r w:rsidRPr="008971D9">
        <w:rPr>
          <w:sz w:val="18"/>
          <w:szCs w:val="18"/>
        </w:rPr>
        <w:t xml:space="preserve">. </w:t>
      </w:r>
    </w:p>
  </w:footnote>
  <w:footnote w:id="10">
    <w:p w14:paraId="45BD75DA" w14:textId="651E62BB" w:rsidR="009F5151" w:rsidRPr="008971D9" w:rsidRDefault="009F5151" w:rsidP="009F5151">
      <w:pPr>
        <w:pStyle w:val="NormalWeb"/>
        <w:rPr>
          <w:sz w:val="18"/>
          <w:szCs w:val="18"/>
        </w:rPr>
      </w:pPr>
      <w:r w:rsidRPr="008971D9">
        <w:rPr>
          <w:rStyle w:val="FootnoteReference"/>
          <w:sz w:val="18"/>
          <w:szCs w:val="18"/>
        </w:rPr>
        <w:footnoteRef/>
      </w:r>
      <w:r w:rsidRPr="008971D9">
        <w:rPr>
          <w:sz w:val="18"/>
          <w:szCs w:val="18"/>
        </w:rPr>
        <w:t xml:space="preserve"> Peter J. Pitts, ‘</w:t>
      </w:r>
      <w:r w:rsidRPr="008971D9">
        <w:rPr>
          <w:i/>
          <w:iCs/>
          <w:sz w:val="18"/>
          <w:szCs w:val="18"/>
        </w:rPr>
        <w:t>Patent Death Squads’ v. Innovation</w:t>
      </w:r>
      <w:r w:rsidRPr="008971D9">
        <w:rPr>
          <w:sz w:val="18"/>
          <w:szCs w:val="18"/>
        </w:rPr>
        <w:t xml:space="preserve">, Wall. St. J. (June 10, 2015), available at https://www.wsj.com/articles/patent-death-squads-vs-innovation-1433978591 (noting that former Chief Judge Rader of the Court of Appeals for the Federal Circuit and other experts in patent law “have referred to the 300-odd administrative judges, attorneys and legal aids on the board as ‘patent death squads.’”); </w:t>
      </w:r>
      <w:r w:rsidRPr="008971D9">
        <w:rPr>
          <w:i/>
          <w:iCs/>
          <w:sz w:val="18"/>
          <w:szCs w:val="18"/>
        </w:rPr>
        <w:t>Claims Can Survive Inter Partes and Covered Business Method Review (But Few Do)</w:t>
      </w:r>
      <w:r w:rsidRPr="008971D9">
        <w:rPr>
          <w:sz w:val="18"/>
          <w:szCs w:val="18"/>
        </w:rPr>
        <w:t>, HUNTON ANDREWS KURTH LLP (Apr. 7, 2014</w:t>
      </w:r>
      <w:r w:rsidR="005C6EC4">
        <w:rPr>
          <w:sz w:val="18"/>
          <w:szCs w:val="18"/>
        </w:rPr>
        <w:t xml:space="preserve">); </w:t>
      </w:r>
      <w:r w:rsidRPr="008971D9">
        <w:rPr>
          <w:sz w:val="18"/>
          <w:szCs w:val="18"/>
        </w:rPr>
        <w:t xml:space="preserve">Gregory Dolin, </w:t>
      </w:r>
      <w:r w:rsidRPr="008971D9">
        <w:rPr>
          <w:i/>
          <w:iCs/>
          <w:sz w:val="18"/>
          <w:szCs w:val="18"/>
        </w:rPr>
        <w:t>Dubious Patent Reform</w:t>
      </w:r>
      <w:r w:rsidRPr="008971D9">
        <w:rPr>
          <w:sz w:val="18"/>
          <w:szCs w:val="18"/>
        </w:rPr>
        <w:t xml:space="preserve">, 56 B.C. L. REV. 881, 926–27 (2015) (arguing that the PTAB makes it “too easy to invalidate a duly issued patent”). </w:t>
      </w:r>
    </w:p>
  </w:footnote>
  <w:footnote w:id="11">
    <w:p w14:paraId="7C70A813" w14:textId="3C8AFA27" w:rsidR="00C25116" w:rsidRPr="008971D9" w:rsidRDefault="00C25116" w:rsidP="008971D9">
      <w:pPr>
        <w:pStyle w:val="FootnoteText"/>
        <w:ind w:firstLine="0"/>
        <w:rPr>
          <w:sz w:val="18"/>
          <w:szCs w:val="18"/>
        </w:rPr>
      </w:pPr>
      <w:r w:rsidRPr="008971D9">
        <w:rPr>
          <w:rStyle w:val="FootnoteReference"/>
          <w:sz w:val="18"/>
          <w:szCs w:val="18"/>
        </w:rPr>
        <w:footnoteRef/>
      </w:r>
      <w:r w:rsidRPr="008971D9">
        <w:rPr>
          <w:sz w:val="18"/>
          <w:szCs w:val="18"/>
        </w:rPr>
        <w:t xml:space="preserve"> In another article, I detail how PTAB proceedings differ from district court proceedings as an empirical matter. </w:t>
      </w:r>
      <w:r w:rsidRPr="00C21C27">
        <w:rPr>
          <w:i/>
          <w:iCs/>
          <w:sz w:val="18"/>
          <w:szCs w:val="18"/>
        </w:rPr>
        <w:t>See</w:t>
      </w:r>
      <w:r w:rsidR="00C21C27">
        <w:rPr>
          <w:sz w:val="18"/>
          <w:szCs w:val="18"/>
        </w:rPr>
        <w:t>__</w:t>
      </w:r>
    </w:p>
  </w:footnote>
  <w:footnote w:id="12">
    <w:p w14:paraId="105F1386" w14:textId="69BB046C" w:rsidR="009F5151" w:rsidRPr="008971D9" w:rsidRDefault="009F5151" w:rsidP="009F5151">
      <w:pPr>
        <w:pStyle w:val="NormalWeb"/>
        <w:rPr>
          <w:sz w:val="18"/>
          <w:szCs w:val="18"/>
        </w:rPr>
      </w:pPr>
      <w:r w:rsidRPr="008971D9">
        <w:rPr>
          <w:rStyle w:val="FootnoteReference"/>
          <w:sz w:val="18"/>
          <w:szCs w:val="18"/>
        </w:rPr>
        <w:footnoteRef/>
      </w:r>
      <w:r w:rsidRPr="008971D9">
        <w:rPr>
          <w:sz w:val="18"/>
          <w:szCs w:val="18"/>
        </w:rPr>
        <w:t xml:space="preserve"> There have been some studies analyzing how the bonus structure at the PTAB incentivizes judges to rule a patent invalid. For example, one study found that judges received higher bonuses in ruling adversely to the patentee. These studies, however, rest on </w:t>
      </w:r>
      <w:r w:rsidR="00C25116" w:rsidRPr="008971D9">
        <w:rPr>
          <w:sz w:val="18"/>
          <w:szCs w:val="18"/>
        </w:rPr>
        <w:t xml:space="preserve">very </w:t>
      </w:r>
      <w:r w:rsidRPr="008971D9">
        <w:rPr>
          <w:sz w:val="18"/>
          <w:szCs w:val="18"/>
        </w:rPr>
        <w:t xml:space="preserve">questionable statistical assumptions, especially given the lack of reliable data on how much bonus each PTAB judge receives. </w:t>
      </w:r>
      <w:r w:rsidRPr="008971D9">
        <w:rPr>
          <w:i/>
          <w:iCs/>
          <w:sz w:val="18"/>
          <w:szCs w:val="18"/>
        </w:rPr>
        <w:t>See</w:t>
      </w:r>
      <w:r w:rsidRPr="008971D9">
        <w:rPr>
          <w:sz w:val="18"/>
          <w:szCs w:val="18"/>
        </w:rPr>
        <w:t xml:space="preserve"> Brian Eatin, </w:t>
      </w:r>
      <w:r w:rsidRPr="008971D9">
        <w:rPr>
          <w:i/>
          <w:iCs/>
          <w:sz w:val="18"/>
          <w:szCs w:val="18"/>
        </w:rPr>
        <w:t xml:space="preserve">PTAB Judges’ Bonus Structure Draws Scrutiny in New Report, </w:t>
      </w:r>
      <w:r w:rsidRPr="008971D9">
        <w:rPr>
          <w:sz w:val="18"/>
          <w:szCs w:val="18"/>
        </w:rPr>
        <w:t>Law360 (June 23, 2001), available at https://www.law360.com/articles/1396001/ptab- judges-bonus-structure-draws-scrutiny-in-new-report . The author has put in a Freedom of Information Act (“FOIA”) request to the PTO to inquire on the amount of yearly bonus.</w:t>
      </w:r>
      <w:r w:rsidR="00C25116" w:rsidRPr="008971D9">
        <w:rPr>
          <w:sz w:val="18"/>
          <w:szCs w:val="18"/>
        </w:rPr>
        <w:t xml:space="preserve"> As detailed </w:t>
      </w:r>
      <w:r w:rsidR="00C25116" w:rsidRPr="008971D9">
        <w:rPr>
          <w:i/>
          <w:iCs/>
          <w:sz w:val="18"/>
          <w:szCs w:val="18"/>
        </w:rPr>
        <w:t>infra</w:t>
      </w:r>
      <w:r w:rsidR="00C25116" w:rsidRPr="008971D9">
        <w:rPr>
          <w:sz w:val="18"/>
          <w:szCs w:val="18"/>
        </w:rPr>
        <w:t>, bonus structures in general do not appear to be that irregular.</w:t>
      </w:r>
    </w:p>
  </w:footnote>
  <w:footnote w:id="13">
    <w:p w14:paraId="4541543B" w14:textId="74DDF4FD" w:rsidR="00957827" w:rsidRPr="008971D9" w:rsidRDefault="00957827" w:rsidP="008971D9">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An inventor’s patent is divided into claims, with each patent having one or more claims that serve as the heart of the patent’s property right. When attacking the validity of a patent, the parties must attack each claim. </w:t>
      </w:r>
    </w:p>
    <w:p w14:paraId="020C8C2B" w14:textId="77777777" w:rsidR="00A4626E" w:rsidRPr="008971D9" w:rsidRDefault="00A4626E">
      <w:pPr>
        <w:pStyle w:val="FootnoteText"/>
        <w:rPr>
          <w:rFonts w:ascii="Times New Roman" w:hAnsi="Times New Roman"/>
          <w:sz w:val="18"/>
          <w:szCs w:val="18"/>
        </w:rPr>
      </w:pPr>
    </w:p>
  </w:footnote>
  <w:footnote w:id="14">
    <w:p w14:paraId="593CEB39" w14:textId="4058A131" w:rsidR="00C25116" w:rsidRDefault="00C25116" w:rsidP="008971D9">
      <w:pPr>
        <w:pStyle w:val="FootnoteText"/>
        <w:ind w:firstLine="0"/>
        <w:rPr>
          <w:sz w:val="18"/>
          <w:szCs w:val="18"/>
        </w:rPr>
      </w:pPr>
      <w:r w:rsidRPr="008971D9">
        <w:rPr>
          <w:rStyle w:val="FootnoteReference"/>
          <w:sz w:val="18"/>
          <w:szCs w:val="18"/>
        </w:rPr>
        <w:footnoteRef/>
      </w:r>
      <w:r w:rsidRPr="008971D9">
        <w:rPr>
          <w:sz w:val="18"/>
          <w:szCs w:val="18"/>
        </w:rPr>
        <w:t xml:space="preserve"> The author’s own data analysis.</w:t>
      </w:r>
    </w:p>
    <w:p w14:paraId="232CADE5" w14:textId="77777777" w:rsidR="008971D9" w:rsidRPr="008971D9" w:rsidRDefault="008971D9" w:rsidP="008971D9">
      <w:pPr>
        <w:pStyle w:val="FootnoteText"/>
        <w:ind w:firstLine="0"/>
        <w:rPr>
          <w:sz w:val="18"/>
          <w:szCs w:val="18"/>
        </w:rPr>
      </w:pPr>
    </w:p>
  </w:footnote>
  <w:footnote w:id="15">
    <w:p w14:paraId="4A2DA105" w14:textId="42A789BA" w:rsidR="00F10290" w:rsidRDefault="00F10290" w:rsidP="00F10290">
      <w:pPr>
        <w:pStyle w:val="FootnoteText"/>
        <w:ind w:firstLine="0"/>
      </w:pPr>
      <w:r>
        <w:rPr>
          <w:rStyle w:val="FootnoteReference"/>
        </w:rPr>
        <w:footnoteRef/>
      </w:r>
      <w:r>
        <w:t xml:space="preserve"> </w:t>
      </w:r>
      <w:r>
        <w:rPr>
          <w:rFonts w:ascii="Times New Roman" w:hAnsi="Times New Roman"/>
          <w:sz w:val="18"/>
          <w:szCs w:val="18"/>
        </w:rPr>
        <w:t xml:space="preserve">Walker &amp; Wasserman, </w:t>
      </w:r>
      <w:r w:rsidRPr="00F10290">
        <w:rPr>
          <w:rFonts w:ascii="Times New Roman" w:hAnsi="Times New Roman"/>
          <w:i/>
          <w:iCs/>
          <w:sz w:val="18"/>
          <w:szCs w:val="18"/>
        </w:rPr>
        <w:t>supra</w:t>
      </w:r>
      <w:r>
        <w:rPr>
          <w:rFonts w:ascii="Times New Roman" w:hAnsi="Times New Roman"/>
          <w:sz w:val="18"/>
          <w:szCs w:val="18"/>
        </w:rPr>
        <w:t xml:space="preserve"> note 1, at 146.</w:t>
      </w:r>
    </w:p>
    <w:p w14:paraId="1FB9EDB7" w14:textId="77777777" w:rsidR="00F10290" w:rsidRDefault="00F10290" w:rsidP="00F10290">
      <w:pPr>
        <w:pStyle w:val="FootnoteText"/>
        <w:ind w:firstLine="0"/>
      </w:pPr>
    </w:p>
  </w:footnote>
  <w:footnote w:id="16">
    <w:p w14:paraId="369690AD" w14:textId="77777777" w:rsidR="00D504AA" w:rsidRPr="008971D9" w:rsidRDefault="00D504AA" w:rsidP="00D504AA">
      <w:pPr>
        <w:widowControl/>
        <w:autoSpaceDE w:val="0"/>
        <w:autoSpaceDN w:val="0"/>
        <w:adjustRightInd w:val="0"/>
        <w:ind w:firstLine="0"/>
        <w:jc w:val="left"/>
        <w:rPr>
          <w:rFonts w:ascii="Times New Roman" w:hAnsi="Times New Roman"/>
          <w:sz w:val="18"/>
          <w:szCs w:val="18"/>
          <w:lang w:eastAsia="ko-KR"/>
        </w:rPr>
      </w:pPr>
      <w:r w:rsidRPr="008971D9">
        <w:rPr>
          <w:rStyle w:val="FootnoteReference"/>
          <w:sz w:val="18"/>
          <w:szCs w:val="18"/>
        </w:rPr>
        <w:footnoteRef/>
      </w:r>
      <w:r w:rsidRPr="008971D9">
        <w:rPr>
          <w:sz w:val="18"/>
          <w:szCs w:val="18"/>
        </w:rPr>
        <w:t xml:space="preserve"> </w:t>
      </w:r>
      <w:r w:rsidRPr="008971D9">
        <w:rPr>
          <w:rFonts w:ascii="Times New Roman" w:hAnsi="Times New Roman"/>
          <w:sz w:val="18"/>
          <w:szCs w:val="18"/>
          <w:lang w:eastAsia="ko-KR"/>
        </w:rPr>
        <w:t>5 U.S.C. § 3105 (2012) (“Administrative law judges shall be assigned to cases in rotation so</w:t>
      </w:r>
    </w:p>
    <w:p w14:paraId="1FE1FAB3" w14:textId="1CFDF6D4" w:rsidR="00D504AA" w:rsidRDefault="00D504AA" w:rsidP="008971D9">
      <w:pPr>
        <w:pStyle w:val="FootnoteText"/>
        <w:ind w:firstLine="0"/>
        <w:rPr>
          <w:rFonts w:ascii="Times New Roman" w:hAnsi="Times New Roman"/>
          <w:sz w:val="18"/>
          <w:szCs w:val="18"/>
          <w:lang w:eastAsia="ko-KR"/>
        </w:rPr>
      </w:pPr>
      <w:r w:rsidRPr="008971D9">
        <w:rPr>
          <w:rFonts w:ascii="Times New Roman" w:hAnsi="Times New Roman"/>
          <w:sz w:val="18"/>
          <w:szCs w:val="18"/>
          <w:lang w:eastAsia="ko-KR"/>
        </w:rPr>
        <w:t>far as practicable . . . .”);</w:t>
      </w:r>
    </w:p>
    <w:p w14:paraId="55F2E89F" w14:textId="77777777" w:rsidR="004E65C2" w:rsidRPr="008971D9" w:rsidRDefault="004E65C2" w:rsidP="008971D9">
      <w:pPr>
        <w:pStyle w:val="FootnoteText"/>
        <w:ind w:firstLine="0"/>
        <w:rPr>
          <w:sz w:val="18"/>
          <w:szCs w:val="18"/>
        </w:rPr>
      </w:pPr>
    </w:p>
  </w:footnote>
  <w:footnote w:id="17">
    <w:p w14:paraId="2431A9BD" w14:textId="54E3E9DC" w:rsidR="00F8076B" w:rsidRPr="008971D9" w:rsidRDefault="00F8076B" w:rsidP="004E65C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00A4626E" w:rsidRPr="008971D9">
        <w:rPr>
          <w:rFonts w:ascii="Times New Roman" w:hAnsi="Times New Roman"/>
          <w:sz w:val="18"/>
          <w:szCs w:val="18"/>
        </w:rPr>
        <w:t xml:space="preserve"> </w:t>
      </w:r>
      <w:r w:rsidR="008971D9">
        <w:rPr>
          <w:rFonts w:ascii="Times New Roman" w:hAnsi="Times New Roman"/>
          <w:sz w:val="18"/>
          <w:szCs w:val="18"/>
        </w:rPr>
        <w:t xml:space="preserve">Walker &amp; Wasserman, </w:t>
      </w:r>
      <w:r w:rsidR="008971D9" w:rsidRPr="00F10290">
        <w:rPr>
          <w:rFonts w:ascii="Times New Roman" w:hAnsi="Times New Roman"/>
          <w:i/>
          <w:iCs/>
          <w:sz w:val="18"/>
          <w:szCs w:val="18"/>
        </w:rPr>
        <w:t>supra</w:t>
      </w:r>
      <w:r w:rsidR="008971D9">
        <w:rPr>
          <w:rFonts w:ascii="Times New Roman" w:hAnsi="Times New Roman"/>
          <w:sz w:val="18"/>
          <w:szCs w:val="18"/>
        </w:rPr>
        <w:t xml:space="preserve"> note 1, at 146. </w:t>
      </w:r>
    </w:p>
  </w:footnote>
  <w:footnote w:id="18">
    <w:p w14:paraId="566C1558" w14:textId="77777777" w:rsidR="004E65C2" w:rsidRDefault="004E65C2">
      <w:pPr>
        <w:pStyle w:val="FootnoteText"/>
        <w:rPr>
          <w:sz w:val="18"/>
          <w:szCs w:val="18"/>
        </w:rPr>
      </w:pPr>
    </w:p>
    <w:p w14:paraId="0FB49E6D" w14:textId="62D31226" w:rsidR="003F5D68" w:rsidRPr="008971D9" w:rsidRDefault="003F5D68" w:rsidP="004E65C2">
      <w:pPr>
        <w:pStyle w:val="FootnoteText"/>
        <w:ind w:firstLine="0"/>
        <w:rPr>
          <w:sz w:val="18"/>
          <w:szCs w:val="18"/>
        </w:rPr>
      </w:pPr>
      <w:r w:rsidRPr="008971D9">
        <w:rPr>
          <w:rStyle w:val="FootnoteReference"/>
          <w:sz w:val="18"/>
          <w:szCs w:val="18"/>
        </w:rPr>
        <w:footnoteRef/>
      </w:r>
      <w:r w:rsidRPr="008971D9">
        <w:rPr>
          <w:sz w:val="18"/>
          <w:szCs w:val="18"/>
        </w:rPr>
        <w:t xml:space="preserve"> </w:t>
      </w:r>
      <w:r w:rsidRPr="004E65C2">
        <w:rPr>
          <w:i/>
          <w:iCs/>
          <w:sz w:val="18"/>
          <w:szCs w:val="18"/>
        </w:rPr>
        <w:t>See</w:t>
      </w:r>
      <w:r w:rsidRPr="008971D9">
        <w:rPr>
          <w:sz w:val="18"/>
          <w:szCs w:val="18"/>
        </w:rPr>
        <w:t xml:space="preserve"> Section __, </w:t>
      </w:r>
      <w:r w:rsidRPr="004E65C2">
        <w:rPr>
          <w:i/>
          <w:iCs/>
          <w:sz w:val="18"/>
          <w:szCs w:val="18"/>
        </w:rPr>
        <w:t>infra</w:t>
      </w:r>
      <w:r w:rsidRPr="008971D9">
        <w:rPr>
          <w:sz w:val="18"/>
          <w:szCs w:val="18"/>
        </w:rPr>
        <w:t>.</w:t>
      </w:r>
    </w:p>
  </w:footnote>
  <w:footnote w:id="19">
    <w:p w14:paraId="75C59EB8" w14:textId="0007ED3E" w:rsidR="00AF572C" w:rsidRPr="008971D9" w:rsidRDefault="00AF572C"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Even low stakes patent cases cost </w:t>
      </w:r>
      <w:r w:rsidR="007D0B18" w:rsidRPr="008971D9">
        <w:rPr>
          <w:rFonts w:ascii="Times New Roman" w:hAnsi="Times New Roman"/>
          <w:sz w:val="18"/>
          <w:szCs w:val="18"/>
        </w:rPr>
        <w:t xml:space="preserve">over </w:t>
      </w:r>
      <w:r w:rsidR="00AD1C68">
        <w:rPr>
          <w:rFonts w:ascii="Times New Roman" w:hAnsi="Times New Roman"/>
          <w:sz w:val="18"/>
          <w:szCs w:val="18"/>
        </w:rPr>
        <w:t>as much as $500,000</w:t>
      </w:r>
      <w:r w:rsidR="007D0B18" w:rsidRPr="008971D9">
        <w:rPr>
          <w:rFonts w:ascii="Times New Roman" w:hAnsi="Times New Roman"/>
          <w:sz w:val="18"/>
          <w:szCs w:val="18"/>
        </w:rPr>
        <w:t xml:space="preserve">, while high costs suits in which more than $25 million is a risk generate litigate costs in excess of $5 million. </w:t>
      </w:r>
      <w:r w:rsidR="007D0B18" w:rsidRPr="008971D9">
        <w:rPr>
          <w:rFonts w:ascii="Times New Roman" w:hAnsi="Times New Roman"/>
          <w:i/>
          <w:iCs/>
          <w:sz w:val="18"/>
          <w:szCs w:val="18"/>
        </w:rPr>
        <w:t xml:space="preserve">See </w:t>
      </w:r>
      <w:r w:rsidRPr="008971D9">
        <w:rPr>
          <w:rFonts w:ascii="Times New Roman" w:hAnsi="Times New Roman"/>
          <w:smallCaps/>
          <w:sz w:val="18"/>
          <w:szCs w:val="18"/>
        </w:rPr>
        <w:t>Am. Intell. Prop. Law Ass’n, Report on the Economic Survey</w:t>
      </w:r>
      <w:r w:rsidRPr="008971D9">
        <w:rPr>
          <w:rFonts w:ascii="Times New Roman" w:hAnsi="Times New Roman"/>
          <w:sz w:val="18"/>
          <w:szCs w:val="18"/>
        </w:rPr>
        <w:t xml:space="preserve"> 34 (2013).</w:t>
      </w:r>
    </w:p>
    <w:p w14:paraId="62872606" w14:textId="77777777" w:rsidR="002B72E2" w:rsidRPr="008971D9" w:rsidRDefault="002B72E2" w:rsidP="002B72E2">
      <w:pPr>
        <w:pStyle w:val="FootnoteText"/>
        <w:ind w:firstLine="0"/>
        <w:rPr>
          <w:rFonts w:ascii="Times New Roman" w:hAnsi="Times New Roman"/>
          <w:sz w:val="18"/>
          <w:szCs w:val="18"/>
        </w:rPr>
      </w:pPr>
    </w:p>
  </w:footnote>
  <w:footnote w:id="20">
    <w:p w14:paraId="25D1281B" w14:textId="75CAAB50" w:rsidR="00B42949" w:rsidRPr="008971D9" w:rsidRDefault="00B42949"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Litigants file suits in these districts so as to benefit from the greater familiarity of these judges with patent law. </w:t>
      </w:r>
      <w:r w:rsidR="00E36849" w:rsidRPr="008971D9">
        <w:rPr>
          <w:rFonts w:ascii="Times New Roman" w:hAnsi="Times New Roman"/>
          <w:sz w:val="18"/>
          <w:szCs w:val="18"/>
        </w:rPr>
        <w:t>These forums also have local rule of court in patent law so as to impose some measure of uniformity.</w:t>
      </w:r>
    </w:p>
    <w:p w14:paraId="7B1B14EB" w14:textId="77777777" w:rsidR="002B72E2" w:rsidRPr="008971D9" w:rsidRDefault="002B72E2" w:rsidP="002B72E2">
      <w:pPr>
        <w:pStyle w:val="FootnoteText"/>
        <w:ind w:firstLine="0"/>
        <w:rPr>
          <w:rFonts w:ascii="Times New Roman" w:hAnsi="Times New Roman"/>
          <w:sz w:val="18"/>
          <w:szCs w:val="18"/>
        </w:rPr>
      </w:pPr>
    </w:p>
  </w:footnote>
  <w:footnote w:id="21">
    <w:p w14:paraId="308E858A" w14:textId="58FE7B1F" w:rsidR="00E36849" w:rsidRPr="008971D9" w:rsidRDefault="00E36849"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Judge James F. Holderman </w:t>
      </w:r>
      <w:r w:rsidRPr="008971D9">
        <w:rPr>
          <w:rFonts w:ascii="Times New Roman" w:hAnsi="Times New Roman"/>
          <w:i/>
          <w:iCs/>
          <w:sz w:val="18"/>
          <w:szCs w:val="18"/>
        </w:rPr>
        <w:t>Judicial Patent Specialization: A View from the Trial Bench</w:t>
      </w:r>
      <w:r w:rsidRPr="008971D9">
        <w:rPr>
          <w:rFonts w:ascii="Times New Roman" w:hAnsi="Times New Roman"/>
          <w:sz w:val="18"/>
          <w:szCs w:val="18"/>
        </w:rPr>
        <w:t xml:space="preserve">, 2002 </w:t>
      </w:r>
      <w:r w:rsidRPr="00AD1C68">
        <w:rPr>
          <w:rFonts w:ascii="Times New Roman" w:hAnsi="Times New Roman"/>
          <w:smallCaps/>
          <w:sz w:val="18"/>
          <w:szCs w:val="18"/>
        </w:rPr>
        <w:t>U. Ill. J. L. Tech. &amp; Policy</w:t>
      </w:r>
      <w:r w:rsidRPr="008971D9">
        <w:rPr>
          <w:rFonts w:ascii="Times New Roman" w:hAnsi="Times New Roman"/>
          <w:sz w:val="18"/>
          <w:szCs w:val="18"/>
        </w:rPr>
        <w:t xml:space="preserve"> 425, 430-41 (2003).</w:t>
      </w:r>
    </w:p>
    <w:p w14:paraId="35C648ED" w14:textId="77777777" w:rsidR="002B72E2" w:rsidRPr="008971D9" w:rsidRDefault="002B72E2" w:rsidP="002B72E2">
      <w:pPr>
        <w:pStyle w:val="FootnoteText"/>
        <w:ind w:firstLine="0"/>
        <w:rPr>
          <w:rFonts w:ascii="Times New Roman" w:hAnsi="Times New Roman"/>
          <w:sz w:val="18"/>
          <w:szCs w:val="18"/>
        </w:rPr>
      </w:pPr>
    </w:p>
  </w:footnote>
  <w:footnote w:id="22">
    <w:p w14:paraId="2F51295C" w14:textId="0440E538" w:rsidR="00D32E46" w:rsidRPr="008971D9" w:rsidRDefault="00D32E46"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In addition to the scientific expertise of the invention, patent law requires learning several complex concepts that intermingle questions of fact and law. For example, if one or two references combined would render an invention obvious to one of ordinary skill in the art, that is a question of law with underlying factual determinations, whereas if one single reference by itself expressly or implicitly anticipates the claimed invention, the invention would be rendered anticipated by the earlier invention. </w:t>
      </w:r>
      <w:r w:rsidRPr="008971D9">
        <w:rPr>
          <w:rFonts w:ascii="Times New Roman" w:hAnsi="Times New Roman"/>
          <w:i/>
          <w:iCs/>
          <w:sz w:val="18"/>
          <w:szCs w:val="18"/>
        </w:rPr>
        <w:t>See</w:t>
      </w:r>
      <w:r w:rsidRPr="008971D9">
        <w:rPr>
          <w:rFonts w:ascii="Times New Roman" w:hAnsi="Times New Roman"/>
          <w:sz w:val="18"/>
          <w:szCs w:val="18"/>
        </w:rPr>
        <w:t xml:space="preserve"> Arti K. Rai, </w:t>
      </w:r>
      <w:r w:rsidRPr="008971D9">
        <w:rPr>
          <w:rFonts w:ascii="Times New Roman" w:hAnsi="Times New Roman"/>
          <w:i/>
          <w:iCs/>
          <w:sz w:val="18"/>
          <w:szCs w:val="18"/>
        </w:rPr>
        <w:t>Engaging Facts and Policy: A Multi-Institutional Approach to Patent System Reform</w:t>
      </w:r>
      <w:r w:rsidRPr="008971D9">
        <w:rPr>
          <w:rFonts w:ascii="Times New Roman" w:hAnsi="Times New Roman"/>
          <w:sz w:val="18"/>
          <w:szCs w:val="18"/>
        </w:rPr>
        <w:t xml:space="preserve">, 103 </w:t>
      </w:r>
      <w:r w:rsidRPr="004E65C2">
        <w:rPr>
          <w:rFonts w:ascii="Times New Roman" w:hAnsi="Times New Roman"/>
          <w:smallCaps/>
          <w:sz w:val="18"/>
          <w:szCs w:val="18"/>
        </w:rPr>
        <w:t>Colum. L. Rev.</w:t>
      </w:r>
      <w:r w:rsidRPr="008971D9">
        <w:rPr>
          <w:rFonts w:ascii="Times New Roman" w:hAnsi="Times New Roman"/>
          <w:sz w:val="18"/>
          <w:szCs w:val="18"/>
        </w:rPr>
        <w:t xml:space="preserve"> 1035,</w:t>
      </w:r>
      <w:r w:rsidRPr="008971D9">
        <w:rPr>
          <w:rFonts w:ascii="Times New Roman" w:hAnsi="Times New Roman"/>
          <w:b/>
          <w:bCs/>
          <w:sz w:val="18"/>
          <w:szCs w:val="18"/>
        </w:rPr>
        <w:t xml:space="preserve"> </w:t>
      </w:r>
      <w:r w:rsidRPr="008971D9">
        <w:rPr>
          <w:rFonts w:ascii="Times New Roman" w:hAnsi="Times New Roman"/>
          <w:sz w:val="18"/>
          <w:szCs w:val="18"/>
        </w:rPr>
        <w:t>1068-75 (2003) (describing complex system of engaging patent-specific fact/law distinctions).</w:t>
      </w:r>
      <w:r w:rsidR="000A485A" w:rsidRPr="008971D9">
        <w:rPr>
          <w:rFonts w:ascii="Times New Roman" w:hAnsi="Times New Roman"/>
          <w:sz w:val="18"/>
          <w:szCs w:val="18"/>
        </w:rPr>
        <w:t xml:space="preserve"> In addition, the whole field of whether or not something even consists of applicable prior art that should be considered in such an analysis is its own complex question. </w:t>
      </w:r>
    </w:p>
  </w:footnote>
  <w:footnote w:id="23">
    <w:p w14:paraId="705DA256" w14:textId="1E84587D" w:rsidR="0032021C" w:rsidRPr="008971D9" w:rsidRDefault="0032021C" w:rsidP="008744EC">
      <w:pPr>
        <w:pStyle w:val="NormalWeb"/>
        <w:rPr>
          <w:sz w:val="18"/>
          <w:szCs w:val="18"/>
        </w:rPr>
      </w:pPr>
      <w:r w:rsidRPr="008971D9">
        <w:rPr>
          <w:rStyle w:val="FootnoteReference"/>
          <w:sz w:val="18"/>
          <w:szCs w:val="18"/>
        </w:rPr>
        <w:footnoteRef/>
      </w:r>
      <w:r w:rsidRPr="008971D9">
        <w:rPr>
          <w:sz w:val="18"/>
          <w:szCs w:val="18"/>
        </w:rPr>
        <w:t xml:space="preserve"> David Kappos, </w:t>
      </w:r>
      <w:r w:rsidRPr="008971D9">
        <w:rPr>
          <w:i/>
          <w:iCs/>
          <w:sz w:val="18"/>
          <w:szCs w:val="18"/>
        </w:rPr>
        <w:t>Re-Inventing the US Patent System</w:t>
      </w:r>
      <w:r w:rsidRPr="008971D9">
        <w:rPr>
          <w:sz w:val="18"/>
          <w:szCs w:val="18"/>
        </w:rPr>
        <w:t xml:space="preserve">, USPTO: DIRECTOR’S FORUM (Sept. 16, 2011), http://www.uspto.gov/blog/director/entry/re_inventing_the_us_patent [https://perma.cc/S8CR- UZDC]. </w:t>
      </w:r>
    </w:p>
  </w:footnote>
  <w:footnote w:id="24">
    <w:p w14:paraId="09945A2B" w14:textId="4B2517E6" w:rsidR="00027EEA" w:rsidRPr="008971D9" w:rsidRDefault="00027EEA" w:rsidP="00593BFF">
      <w:pPr>
        <w:pStyle w:val="NormalWeb"/>
        <w:rPr>
          <w:sz w:val="18"/>
          <w:szCs w:val="18"/>
        </w:rPr>
      </w:pPr>
      <w:r w:rsidRPr="008971D9">
        <w:rPr>
          <w:rStyle w:val="FootnoteReference"/>
          <w:sz w:val="18"/>
          <w:szCs w:val="18"/>
        </w:rPr>
        <w:footnoteRef/>
      </w:r>
      <w:r w:rsidRPr="008971D9">
        <w:rPr>
          <w:sz w:val="18"/>
          <w:szCs w:val="18"/>
        </w:rPr>
        <w:t xml:space="preserve"> </w:t>
      </w:r>
      <w:r w:rsidR="005E36E9" w:rsidRPr="005E36E9">
        <w:rPr>
          <w:i/>
          <w:iCs/>
          <w:sz w:val="18"/>
          <w:szCs w:val="18"/>
        </w:rPr>
        <w:t xml:space="preserve">See </w:t>
      </w:r>
      <w:r w:rsidRPr="008971D9">
        <w:rPr>
          <w:sz w:val="18"/>
          <w:szCs w:val="18"/>
        </w:rPr>
        <w:t xml:space="preserve">Sean B. Seymore, </w:t>
      </w:r>
      <w:r w:rsidRPr="008971D9">
        <w:rPr>
          <w:i/>
          <w:iCs/>
          <w:sz w:val="18"/>
          <w:szCs w:val="18"/>
        </w:rPr>
        <w:t>The Presumption of Patentability</w:t>
      </w:r>
      <w:r w:rsidRPr="008971D9">
        <w:rPr>
          <w:sz w:val="18"/>
          <w:szCs w:val="18"/>
        </w:rPr>
        <w:t xml:space="preserve">, 97 MINN. L. REV. 990 (2013) (examining the presumption of patentability employed by patent examiners); Jonathan Masur, </w:t>
      </w:r>
      <w:r w:rsidRPr="008971D9">
        <w:rPr>
          <w:i/>
          <w:iCs/>
          <w:sz w:val="18"/>
          <w:szCs w:val="18"/>
        </w:rPr>
        <w:t>Patent Inflation</w:t>
      </w:r>
      <w:r w:rsidRPr="008971D9">
        <w:rPr>
          <w:sz w:val="18"/>
          <w:szCs w:val="18"/>
        </w:rPr>
        <w:t xml:space="preserve">, 121 YALE L.J. 470 (2011) (discussing the incentives that the Patent Office has in granting patents because grants cannot be appealed by any party other than the patent applicant); Melissa F. Wasserman, </w:t>
      </w:r>
      <w:r w:rsidRPr="008971D9">
        <w:rPr>
          <w:i/>
          <w:iCs/>
          <w:sz w:val="18"/>
          <w:szCs w:val="18"/>
        </w:rPr>
        <w:t>The PTO’s Asymmetric Incentives: Pressure to Expand Substantive Patent Law</w:t>
      </w:r>
      <w:r w:rsidRPr="008971D9">
        <w:rPr>
          <w:sz w:val="18"/>
          <w:szCs w:val="18"/>
        </w:rPr>
        <w:t xml:space="preserve">, 72 OHIO ST. L.J. 379 (2011) (arguing that the Federal Circuit is pressured to announce broad legal standards when the Patent Office itself expands patentability standards); Mark A. Lemley, </w:t>
      </w:r>
      <w:r w:rsidRPr="008971D9">
        <w:rPr>
          <w:i/>
          <w:iCs/>
          <w:sz w:val="18"/>
          <w:szCs w:val="18"/>
        </w:rPr>
        <w:t>Rational Ignorance at the Patent Office</w:t>
      </w:r>
      <w:r w:rsidRPr="008971D9">
        <w:rPr>
          <w:sz w:val="18"/>
          <w:szCs w:val="18"/>
        </w:rPr>
        <w:t xml:space="preserve">, 95 NW. U. L. REV. 1495 (2001) (arguing that patent examiners do not thoroughly vet patents in part because of a strain on resource). For representative empirical discussions, see generally Michael D. Frakes &amp; Melissa F. Wasserman, </w:t>
      </w:r>
      <w:r w:rsidRPr="008971D9">
        <w:rPr>
          <w:i/>
          <w:iCs/>
          <w:sz w:val="18"/>
          <w:szCs w:val="18"/>
        </w:rPr>
        <w:t>Does the U.S. Patent and Trademark Office Grant Too Many Bad Patents?: Evidence from a Quasi-Experiment</w:t>
      </w:r>
      <w:r w:rsidRPr="008971D9">
        <w:rPr>
          <w:sz w:val="18"/>
          <w:szCs w:val="18"/>
        </w:rPr>
        <w:t xml:space="preserve">, 67 STAN. L. REV. 613 (2015) (presenting empirical findings that the </w:t>
      </w:r>
      <w:r w:rsidR="005E36E9">
        <w:rPr>
          <w:sz w:val="18"/>
          <w:szCs w:val="18"/>
        </w:rPr>
        <w:t>PTO</w:t>
      </w:r>
      <w:r w:rsidRPr="008971D9">
        <w:rPr>
          <w:sz w:val="18"/>
          <w:szCs w:val="18"/>
        </w:rPr>
        <w:t xml:space="preserve"> is biased toward granting patents); Michael D. Frakes &amp; Melissa F. Wasserman, </w:t>
      </w:r>
      <w:r w:rsidRPr="008971D9">
        <w:rPr>
          <w:i/>
          <w:iCs/>
          <w:sz w:val="18"/>
          <w:szCs w:val="18"/>
        </w:rPr>
        <w:t>Does Agency Funding Affect Decisionmaking?: An Empirical Assessment of the PTO’s Granting Patterns</w:t>
      </w:r>
      <w:r w:rsidRPr="008971D9">
        <w:rPr>
          <w:sz w:val="18"/>
          <w:szCs w:val="18"/>
        </w:rPr>
        <w:t xml:space="preserve">, 66 VAND. L. REV. 67 (2013) (presenting empirical findings that suggest the </w:t>
      </w:r>
      <w:r w:rsidR="005E36E9">
        <w:rPr>
          <w:sz w:val="18"/>
          <w:szCs w:val="18"/>
        </w:rPr>
        <w:t>PTO’s</w:t>
      </w:r>
      <w:r w:rsidRPr="008971D9">
        <w:rPr>
          <w:sz w:val="18"/>
          <w:szCs w:val="18"/>
        </w:rPr>
        <w:t xml:space="preserve"> fee structure creates financial incentives for granting patents). </w:t>
      </w:r>
    </w:p>
  </w:footnote>
  <w:footnote w:id="25">
    <w:p w14:paraId="2FFCD59C" w14:textId="12E87ED2" w:rsidR="00F8411C" w:rsidRPr="008971D9" w:rsidRDefault="00F8411C" w:rsidP="002B72E2">
      <w:pPr>
        <w:pStyle w:val="NormalWeb"/>
        <w:rPr>
          <w:sz w:val="18"/>
          <w:szCs w:val="18"/>
        </w:rPr>
      </w:pPr>
      <w:r w:rsidRPr="008971D9">
        <w:rPr>
          <w:rStyle w:val="FootnoteReference"/>
          <w:sz w:val="18"/>
          <w:szCs w:val="18"/>
        </w:rPr>
        <w:footnoteRef/>
      </w:r>
      <w:r w:rsidRPr="008971D9">
        <w:rPr>
          <w:sz w:val="18"/>
          <w:szCs w:val="18"/>
        </w:rPr>
        <w:t xml:space="preserve"> Michael D. Frakes &amp; Melissa F. Wasserman, </w:t>
      </w:r>
      <w:r w:rsidRPr="008971D9">
        <w:rPr>
          <w:i/>
          <w:iCs/>
          <w:sz w:val="18"/>
          <w:szCs w:val="18"/>
        </w:rPr>
        <w:t>Does the U.S. Patent Office Grant Too Many Bad Patents?: Evidence from a Quasi-Experiment</w:t>
      </w:r>
      <w:r w:rsidRPr="008971D9">
        <w:rPr>
          <w:sz w:val="18"/>
          <w:szCs w:val="18"/>
        </w:rPr>
        <w:t xml:space="preserve">, 67 STAN. L. REV. 613, 621 (2015). </w:t>
      </w:r>
    </w:p>
  </w:footnote>
  <w:footnote w:id="26">
    <w:p w14:paraId="53654A34" w14:textId="7C560624" w:rsidR="006D71DB" w:rsidRPr="008971D9" w:rsidRDefault="006D71DB" w:rsidP="002B72E2">
      <w:pPr>
        <w:pStyle w:val="NormalWeb"/>
        <w:rPr>
          <w:sz w:val="18"/>
          <w:szCs w:val="18"/>
        </w:rPr>
      </w:pPr>
      <w:r w:rsidRPr="008971D9">
        <w:rPr>
          <w:rStyle w:val="FootnoteReference"/>
          <w:sz w:val="18"/>
          <w:szCs w:val="18"/>
        </w:rPr>
        <w:footnoteRef/>
      </w:r>
      <w:r w:rsidRPr="008971D9">
        <w:rPr>
          <w:sz w:val="18"/>
          <w:szCs w:val="18"/>
        </w:rPr>
        <w:t xml:space="preserve"> Leahy-Smith America Invents Act, Pub. L. No. 112-29, 125 Stat. 284 (2011) (codified in scattered sections of 35 U.S.C.) </w:t>
      </w:r>
    </w:p>
  </w:footnote>
  <w:footnote w:id="27">
    <w:p w14:paraId="3B9C74CB" w14:textId="48D9962D" w:rsidR="006F3423" w:rsidRPr="008971D9" w:rsidRDefault="006F3423" w:rsidP="002B72E2">
      <w:pPr>
        <w:pStyle w:val="NormalWeb"/>
        <w:rPr>
          <w:sz w:val="18"/>
          <w:szCs w:val="18"/>
        </w:rPr>
      </w:pPr>
      <w:r w:rsidRPr="008971D9">
        <w:rPr>
          <w:rStyle w:val="FootnoteReference"/>
          <w:sz w:val="18"/>
          <w:szCs w:val="18"/>
        </w:rPr>
        <w:footnoteRef/>
      </w:r>
      <w:r w:rsidRPr="008971D9">
        <w:rPr>
          <w:sz w:val="18"/>
          <w:szCs w:val="18"/>
        </w:rPr>
        <w:t xml:space="preserve"> </w:t>
      </w:r>
      <w:r w:rsidR="00C51D76" w:rsidRPr="008971D9">
        <w:rPr>
          <w:i/>
          <w:iCs/>
          <w:sz w:val="18"/>
          <w:szCs w:val="18"/>
        </w:rPr>
        <w:t xml:space="preserve">See </w:t>
      </w:r>
      <w:r w:rsidR="00C51D76" w:rsidRPr="008971D9">
        <w:rPr>
          <w:sz w:val="18"/>
          <w:szCs w:val="18"/>
        </w:rPr>
        <w:t xml:space="preserve">Act of Dec. 12, 1980, Pub. L. No. 96-517, 94 Stat. 3015 (codified as amended at 35 U.S.C. §§301–307 (2018)) (allowing parties to request reexamination of patent claims based on prior art). </w:t>
      </w:r>
      <w:r w:rsidRPr="008971D9">
        <w:rPr>
          <w:sz w:val="18"/>
          <w:szCs w:val="18"/>
        </w:rPr>
        <w:t>.</w:t>
      </w:r>
    </w:p>
  </w:footnote>
  <w:footnote w:id="28">
    <w:p w14:paraId="7C39611D" w14:textId="5E630B52" w:rsidR="006F3423" w:rsidRPr="008971D9" w:rsidRDefault="006F3423"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Pr="008971D9">
        <w:rPr>
          <w:rFonts w:ascii="Times New Roman" w:hAnsi="Times New Roman"/>
          <w:i/>
          <w:iCs/>
          <w:sz w:val="18"/>
          <w:szCs w:val="18"/>
        </w:rPr>
        <w:t>Id.</w:t>
      </w:r>
      <w:r w:rsidRPr="008971D9">
        <w:rPr>
          <w:rFonts w:ascii="Times New Roman" w:hAnsi="Times New Roman"/>
          <w:sz w:val="18"/>
          <w:szCs w:val="18"/>
        </w:rPr>
        <w:t xml:space="preserve"> One exception was the pre-1999 U.S. patent system permitted reissue patents, where third parties could subject evidence of invalidity during the reissue process. </w:t>
      </w:r>
    </w:p>
    <w:p w14:paraId="18B633DD" w14:textId="77777777" w:rsidR="002B72E2" w:rsidRPr="008971D9" w:rsidRDefault="002B72E2" w:rsidP="002B72E2">
      <w:pPr>
        <w:pStyle w:val="FootnoteText"/>
        <w:ind w:firstLine="0"/>
        <w:rPr>
          <w:rFonts w:ascii="Times New Roman" w:hAnsi="Times New Roman"/>
          <w:sz w:val="18"/>
          <w:szCs w:val="18"/>
        </w:rPr>
      </w:pPr>
    </w:p>
  </w:footnote>
  <w:footnote w:id="29">
    <w:p w14:paraId="404F9FC7" w14:textId="20F06E6B" w:rsidR="006F3423" w:rsidRPr="008971D9" w:rsidRDefault="006F3423"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Dietmar Harhoff &amp; Markus Reitzig, </w:t>
      </w:r>
      <w:r w:rsidRPr="008971D9">
        <w:rPr>
          <w:rFonts w:ascii="Times New Roman" w:hAnsi="Times New Roman"/>
          <w:i/>
          <w:iCs/>
          <w:sz w:val="18"/>
          <w:szCs w:val="18"/>
        </w:rPr>
        <w:t>Determinants of Opposition Against EPO Patent Genes-The Case of Biotechnology and Pharmaceuticals</w:t>
      </w:r>
      <w:r w:rsidRPr="008971D9">
        <w:rPr>
          <w:rFonts w:ascii="Times New Roman" w:hAnsi="Times New Roman"/>
          <w:sz w:val="18"/>
          <w:szCs w:val="18"/>
        </w:rPr>
        <w:t xml:space="preserve">, </w:t>
      </w:r>
      <w:r w:rsidRPr="008971D9">
        <w:rPr>
          <w:rFonts w:ascii="Times New Roman" w:hAnsi="Times New Roman"/>
          <w:smallCaps/>
          <w:sz w:val="18"/>
          <w:szCs w:val="18"/>
        </w:rPr>
        <w:t>22 Int’l J. of Ind. Org</w:t>
      </w:r>
      <w:r w:rsidRPr="008971D9">
        <w:rPr>
          <w:rFonts w:ascii="Times New Roman" w:hAnsi="Times New Roman"/>
          <w:sz w:val="18"/>
          <w:szCs w:val="18"/>
        </w:rPr>
        <w:t>. 443 (2004).</w:t>
      </w:r>
    </w:p>
    <w:p w14:paraId="42C8BD23" w14:textId="77777777" w:rsidR="002B72E2" w:rsidRPr="008971D9" w:rsidRDefault="002B72E2" w:rsidP="002B72E2">
      <w:pPr>
        <w:pStyle w:val="FootnoteText"/>
        <w:ind w:firstLine="0"/>
        <w:rPr>
          <w:rFonts w:ascii="Times New Roman" w:hAnsi="Times New Roman"/>
          <w:sz w:val="18"/>
          <w:szCs w:val="18"/>
        </w:rPr>
      </w:pPr>
    </w:p>
  </w:footnote>
  <w:footnote w:id="30">
    <w:p w14:paraId="49B17414" w14:textId="12915240" w:rsidR="006F3423" w:rsidRPr="008971D9" w:rsidRDefault="006F3423"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American Inventors Protection Act of 1999, Pub. L. No. 116-113 (1999).</w:t>
      </w:r>
    </w:p>
    <w:p w14:paraId="6C0D0F41" w14:textId="77777777" w:rsidR="007B2A16" w:rsidRPr="008971D9" w:rsidRDefault="007B2A16" w:rsidP="002B72E2">
      <w:pPr>
        <w:pStyle w:val="FootnoteText"/>
        <w:ind w:firstLine="0"/>
        <w:rPr>
          <w:rFonts w:ascii="Times New Roman" w:hAnsi="Times New Roman"/>
          <w:sz w:val="18"/>
          <w:szCs w:val="18"/>
        </w:rPr>
      </w:pPr>
    </w:p>
  </w:footnote>
  <w:footnote w:id="31">
    <w:p w14:paraId="37BEF47D" w14:textId="2A0CBF62" w:rsidR="006F3423" w:rsidRPr="008971D9" w:rsidRDefault="006F3423" w:rsidP="002B72E2">
      <w:pPr>
        <w:pStyle w:val="FootnoteText"/>
        <w:ind w:firstLine="0"/>
        <w:rPr>
          <w:rFonts w:ascii="Times New Roman" w:hAnsi="Times New Roman"/>
          <w:i/>
          <w:iCs/>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Pr="008971D9">
        <w:rPr>
          <w:rFonts w:ascii="Times New Roman" w:hAnsi="Times New Roman"/>
          <w:i/>
          <w:iCs/>
          <w:sz w:val="18"/>
          <w:szCs w:val="18"/>
        </w:rPr>
        <w:t>Id.</w:t>
      </w:r>
    </w:p>
    <w:p w14:paraId="4616DA02" w14:textId="77777777" w:rsidR="002B72E2" w:rsidRPr="008971D9" w:rsidRDefault="002B72E2" w:rsidP="002B72E2">
      <w:pPr>
        <w:pStyle w:val="FootnoteText"/>
        <w:ind w:firstLine="0"/>
        <w:rPr>
          <w:rFonts w:ascii="Times New Roman" w:hAnsi="Times New Roman"/>
          <w:i/>
          <w:iCs/>
          <w:sz w:val="18"/>
          <w:szCs w:val="18"/>
        </w:rPr>
      </w:pPr>
    </w:p>
  </w:footnote>
  <w:footnote w:id="32">
    <w:p w14:paraId="33B6355B" w14:textId="75B65C89" w:rsidR="006F3423" w:rsidRPr="008971D9" w:rsidRDefault="006F3423"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Helmers &amp; Love, </w:t>
      </w:r>
      <w:r w:rsidRPr="008971D9">
        <w:rPr>
          <w:rFonts w:ascii="Times New Roman" w:hAnsi="Times New Roman"/>
          <w:i/>
          <w:iCs/>
          <w:sz w:val="18"/>
          <w:szCs w:val="18"/>
        </w:rPr>
        <w:t xml:space="preserve">supra </w:t>
      </w:r>
      <w:r w:rsidRPr="008971D9">
        <w:rPr>
          <w:rFonts w:ascii="Times New Roman" w:hAnsi="Times New Roman"/>
          <w:sz w:val="18"/>
          <w:szCs w:val="18"/>
        </w:rPr>
        <w:t xml:space="preserve">note, at 6. </w:t>
      </w:r>
    </w:p>
    <w:p w14:paraId="7008DD7E" w14:textId="77777777" w:rsidR="002B72E2" w:rsidRPr="008971D9" w:rsidRDefault="002B72E2" w:rsidP="002B72E2">
      <w:pPr>
        <w:pStyle w:val="FootnoteText"/>
        <w:ind w:firstLine="0"/>
        <w:rPr>
          <w:rFonts w:ascii="Times New Roman" w:hAnsi="Times New Roman"/>
          <w:sz w:val="18"/>
          <w:szCs w:val="18"/>
        </w:rPr>
      </w:pPr>
    </w:p>
  </w:footnote>
  <w:footnote w:id="33">
    <w:p w14:paraId="7029A4A5" w14:textId="77777777" w:rsidR="006F3423" w:rsidRPr="008971D9" w:rsidRDefault="006F3423"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35 U.S.C. 312(a); Tali Bar &amp; Brendan Costello, </w:t>
      </w:r>
      <w:r w:rsidRPr="008971D9">
        <w:rPr>
          <w:rFonts w:ascii="Times New Roman" w:hAnsi="Times New Roman"/>
          <w:i/>
          <w:iCs/>
          <w:sz w:val="18"/>
          <w:szCs w:val="18"/>
        </w:rPr>
        <w:t xml:space="preserve">Patent Validity Challenges and the America Invents Act </w:t>
      </w:r>
      <w:r w:rsidRPr="008971D9">
        <w:rPr>
          <w:rFonts w:ascii="Times New Roman" w:hAnsi="Times New Roman"/>
          <w:sz w:val="18"/>
          <w:szCs w:val="18"/>
        </w:rPr>
        <w:t>(working paper).</w:t>
      </w:r>
    </w:p>
  </w:footnote>
  <w:footnote w:id="34">
    <w:p w14:paraId="089E3DD0" w14:textId="77777777" w:rsidR="006F3423" w:rsidRPr="008971D9" w:rsidRDefault="006F3423"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https://www.uspto.gov/sites/default/files/documents/inter_parte_historical_stats_roll_up.pdf</w:t>
      </w:r>
    </w:p>
  </w:footnote>
  <w:footnote w:id="35">
    <w:p w14:paraId="39B60F62" w14:textId="7EEB7DA6" w:rsidR="006F3423" w:rsidRPr="008971D9" w:rsidRDefault="006F3423"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Pr="008971D9">
        <w:rPr>
          <w:rFonts w:ascii="Times New Roman" w:hAnsi="Times New Roman"/>
          <w:i/>
          <w:iCs/>
          <w:sz w:val="18"/>
          <w:szCs w:val="18"/>
        </w:rPr>
        <w:t>Id.; see also</w:t>
      </w:r>
      <w:r w:rsidRPr="008971D9">
        <w:rPr>
          <w:rFonts w:ascii="Times New Roman" w:hAnsi="Times New Roman"/>
          <w:sz w:val="18"/>
          <w:szCs w:val="18"/>
        </w:rPr>
        <w:t xml:space="preserve"> </w:t>
      </w:r>
      <w:hyperlink r:id="rId1" w:history="1">
        <w:r w:rsidR="002B72E2" w:rsidRPr="008971D9">
          <w:rPr>
            <w:rStyle w:val="Hyperlink"/>
            <w:rFonts w:ascii="Times New Roman" w:hAnsi="Times New Roman"/>
            <w:sz w:val="18"/>
            <w:szCs w:val="18"/>
          </w:rPr>
          <w:t>https://www.uspto.gov/sites/default/files/documents/ex_parte_historical_stats_roll_up.pdf</w:t>
        </w:r>
      </w:hyperlink>
    </w:p>
    <w:p w14:paraId="1240B921" w14:textId="77777777" w:rsidR="002B72E2" w:rsidRPr="008971D9" w:rsidRDefault="002B72E2" w:rsidP="002B72E2">
      <w:pPr>
        <w:pStyle w:val="FootnoteText"/>
        <w:ind w:firstLine="0"/>
        <w:rPr>
          <w:rFonts w:ascii="Times New Roman" w:hAnsi="Times New Roman"/>
          <w:sz w:val="18"/>
          <w:szCs w:val="18"/>
        </w:rPr>
      </w:pPr>
    </w:p>
  </w:footnote>
  <w:footnote w:id="36">
    <w:p w14:paraId="1878ECA2" w14:textId="2B40386D" w:rsidR="006F3423" w:rsidRPr="008971D9" w:rsidRDefault="006F3423"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Mark D. Janis, </w:t>
      </w:r>
      <w:r w:rsidRPr="008971D9">
        <w:rPr>
          <w:rFonts w:ascii="Times New Roman" w:hAnsi="Times New Roman"/>
          <w:i/>
          <w:iCs/>
          <w:sz w:val="18"/>
          <w:szCs w:val="18"/>
        </w:rPr>
        <w:t>Inter Partes Reexamination</w:t>
      </w:r>
      <w:r w:rsidRPr="008971D9">
        <w:rPr>
          <w:rFonts w:ascii="Times New Roman" w:hAnsi="Times New Roman"/>
          <w:sz w:val="18"/>
          <w:szCs w:val="18"/>
        </w:rPr>
        <w:t xml:space="preserve">, 10 </w:t>
      </w:r>
      <w:r w:rsidRPr="008971D9">
        <w:rPr>
          <w:rFonts w:ascii="Times New Roman" w:hAnsi="Times New Roman"/>
          <w:smallCaps/>
          <w:sz w:val="18"/>
          <w:szCs w:val="18"/>
        </w:rPr>
        <w:t>Fordham Intell. Prop., Media, &amp; Ent. L. J.</w:t>
      </w:r>
      <w:r w:rsidRPr="008971D9">
        <w:rPr>
          <w:rFonts w:ascii="Times New Roman" w:hAnsi="Times New Roman"/>
          <w:sz w:val="18"/>
          <w:szCs w:val="18"/>
        </w:rPr>
        <w:t xml:space="preserve"> 481, 484 (2000). </w:t>
      </w:r>
    </w:p>
    <w:p w14:paraId="59C16F75" w14:textId="77777777" w:rsidR="002B72E2" w:rsidRPr="008971D9" w:rsidRDefault="002B72E2" w:rsidP="002B72E2">
      <w:pPr>
        <w:pStyle w:val="FootnoteText"/>
        <w:ind w:firstLine="0"/>
        <w:rPr>
          <w:rFonts w:ascii="Times New Roman" w:hAnsi="Times New Roman"/>
          <w:sz w:val="18"/>
          <w:szCs w:val="18"/>
        </w:rPr>
      </w:pPr>
    </w:p>
  </w:footnote>
  <w:footnote w:id="37">
    <w:p w14:paraId="721AC802" w14:textId="6CDDCEBE" w:rsidR="006F3423" w:rsidRPr="008971D9" w:rsidRDefault="006F3423"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Bar &amp; Costello, </w:t>
      </w:r>
      <w:r w:rsidRPr="008971D9">
        <w:rPr>
          <w:rFonts w:ascii="Times New Roman" w:hAnsi="Times New Roman"/>
          <w:i/>
          <w:iCs/>
          <w:sz w:val="18"/>
          <w:szCs w:val="18"/>
        </w:rPr>
        <w:t xml:space="preserve">supra </w:t>
      </w:r>
      <w:r w:rsidRPr="008971D9">
        <w:rPr>
          <w:rFonts w:ascii="Times New Roman" w:hAnsi="Times New Roman"/>
          <w:sz w:val="18"/>
          <w:szCs w:val="18"/>
        </w:rPr>
        <w:t>note.</w:t>
      </w:r>
    </w:p>
    <w:p w14:paraId="145136CD" w14:textId="77777777" w:rsidR="002B72E2" w:rsidRPr="008971D9" w:rsidRDefault="002B72E2" w:rsidP="002B72E2">
      <w:pPr>
        <w:pStyle w:val="FootnoteText"/>
        <w:ind w:firstLine="0"/>
        <w:rPr>
          <w:rFonts w:ascii="Times New Roman" w:hAnsi="Times New Roman"/>
          <w:sz w:val="18"/>
          <w:szCs w:val="18"/>
        </w:rPr>
      </w:pPr>
    </w:p>
  </w:footnote>
  <w:footnote w:id="38">
    <w:p w14:paraId="0877E7AC" w14:textId="77777777" w:rsidR="006F3423" w:rsidRPr="008971D9" w:rsidRDefault="006F3423"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Janis, </w:t>
      </w:r>
      <w:r w:rsidRPr="008971D9">
        <w:rPr>
          <w:rFonts w:ascii="Times New Roman" w:hAnsi="Times New Roman"/>
          <w:i/>
          <w:iCs/>
          <w:sz w:val="18"/>
          <w:szCs w:val="18"/>
        </w:rPr>
        <w:t>supra</w:t>
      </w:r>
      <w:r w:rsidRPr="008971D9">
        <w:rPr>
          <w:rFonts w:ascii="Times New Roman" w:hAnsi="Times New Roman"/>
          <w:sz w:val="18"/>
          <w:szCs w:val="18"/>
        </w:rPr>
        <w:t xml:space="preserve"> note, at 492.</w:t>
      </w:r>
    </w:p>
  </w:footnote>
  <w:footnote w:id="39">
    <w:p w14:paraId="212427E4" w14:textId="772A31F5" w:rsidR="00581C10" w:rsidRPr="008971D9" w:rsidRDefault="00581C10" w:rsidP="008744EC">
      <w:pPr>
        <w:pStyle w:val="NormalWeb"/>
        <w:rPr>
          <w:sz w:val="18"/>
          <w:szCs w:val="18"/>
        </w:rPr>
      </w:pPr>
      <w:r w:rsidRPr="008971D9">
        <w:rPr>
          <w:rStyle w:val="FootnoteReference"/>
          <w:sz w:val="18"/>
          <w:szCs w:val="18"/>
        </w:rPr>
        <w:footnoteRef/>
      </w:r>
      <w:r w:rsidRPr="008971D9">
        <w:rPr>
          <w:sz w:val="18"/>
          <w:szCs w:val="18"/>
        </w:rPr>
        <w:t xml:space="preserve"> </w:t>
      </w:r>
      <w:r w:rsidRPr="008971D9">
        <w:rPr>
          <w:i/>
          <w:iCs/>
          <w:sz w:val="18"/>
          <w:szCs w:val="18"/>
        </w:rPr>
        <w:t>See, e.g.</w:t>
      </w:r>
      <w:r w:rsidRPr="008971D9">
        <w:rPr>
          <w:sz w:val="18"/>
          <w:szCs w:val="18"/>
        </w:rPr>
        <w:t xml:space="preserve">, 35 U.S.C. § 325(d) (allowing the Director of the Patent Office to prioritize a post-grant review while, among other things, staying or terminating other pending proceedings regarding the same patent). </w:t>
      </w:r>
    </w:p>
  </w:footnote>
  <w:footnote w:id="40">
    <w:p w14:paraId="7AFF572C" w14:textId="6A95AFC8" w:rsidR="006F3423" w:rsidRPr="008971D9" w:rsidRDefault="006F3423" w:rsidP="002B72E2">
      <w:pPr>
        <w:pStyle w:val="NormalWeb"/>
        <w:rPr>
          <w:sz w:val="18"/>
          <w:szCs w:val="18"/>
        </w:rPr>
      </w:pPr>
      <w:r w:rsidRPr="008971D9">
        <w:rPr>
          <w:rStyle w:val="FootnoteReference"/>
          <w:sz w:val="18"/>
          <w:szCs w:val="18"/>
        </w:rPr>
        <w:footnoteRef/>
      </w:r>
      <w:r w:rsidRPr="008971D9">
        <w:rPr>
          <w:sz w:val="18"/>
          <w:szCs w:val="18"/>
        </w:rPr>
        <w:t xml:space="preserve"> </w:t>
      </w:r>
      <w:r w:rsidRPr="008971D9">
        <w:rPr>
          <w:i/>
          <w:iCs/>
          <w:sz w:val="18"/>
          <w:szCs w:val="18"/>
        </w:rPr>
        <w:t xml:space="preserve">Id. </w:t>
      </w:r>
      <w:r w:rsidRPr="008971D9">
        <w:rPr>
          <w:sz w:val="18"/>
          <w:szCs w:val="18"/>
        </w:rPr>
        <w:t>§ 6(a). PGR is limited to only patents’ having a filing date after the AIA of March 16, 201, including all section 102 and 103 grounds (such as the on sale bar or public use in addition to obviousness and anticipation on documentary prior art), as well as on section 101 grounds related to statutory subject matter and section 112 grounds on written d</w:t>
      </w:r>
      <w:r w:rsidR="002B72E2" w:rsidRPr="008971D9">
        <w:rPr>
          <w:sz w:val="18"/>
          <w:szCs w:val="18"/>
        </w:rPr>
        <w:t>e</w:t>
      </w:r>
      <w:r w:rsidRPr="008971D9">
        <w:rPr>
          <w:sz w:val="18"/>
          <w:szCs w:val="18"/>
        </w:rPr>
        <w:t>scription, definiteness, and enablement.</w:t>
      </w:r>
    </w:p>
  </w:footnote>
  <w:footnote w:id="41">
    <w:p w14:paraId="0973D56E" w14:textId="0B85863E" w:rsidR="006F3423" w:rsidRPr="008971D9" w:rsidRDefault="006F3423" w:rsidP="002B72E2">
      <w:pPr>
        <w:pStyle w:val="FootnoteText"/>
        <w:ind w:firstLine="0"/>
        <w:rPr>
          <w:rFonts w:ascii="Times New Roman" w:hAnsi="Times New Roman"/>
          <w:i/>
          <w:iCs/>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002B72E2" w:rsidRPr="008971D9">
        <w:rPr>
          <w:rFonts w:ascii="Times New Roman" w:hAnsi="Times New Roman"/>
          <w:i/>
          <w:iCs/>
          <w:sz w:val="18"/>
          <w:szCs w:val="18"/>
        </w:rPr>
        <w:t>Id.</w:t>
      </w:r>
    </w:p>
    <w:p w14:paraId="1C7BB24C" w14:textId="77777777" w:rsidR="002B72E2" w:rsidRPr="008971D9" w:rsidRDefault="002B72E2" w:rsidP="002B72E2">
      <w:pPr>
        <w:pStyle w:val="FootnoteText"/>
        <w:ind w:firstLine="0"/>
        <w:rPr>
          <w:rFonts w:ascii="Times New Roman" w:hAnsi="Times New Roman"/>
          <w:sz w:val="18"/>
          <w:szCs w:val="18"/>
        </w:rPr>
      </w:pPr>
    </w:p>
  </w:footnote>
  <w:footnote w:id="42">
    <w:p w14:paraId="30C01AD6" w14:textId="5073C2CF" w:rsidR="006F3423" w:rsidRPr="008971D9" w:rsidRDefault="006F3423"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Pr="008971D9">
        <w:rPr>
          <w:rFonts w:ascii="Times New Roman" w:hAnsi="Times New Roman"/>
          <w:i/>
          <w:iCs/>
          <w:sz w:val="18"/>
          <w:szCs w:val="18"/>
        </w:rPr>
        <w:t xml:space="preserve">Id. </w:t>
      </w:r>
      <w:r w:rsidRPr="008971D9">
        <w:rPr>
          <w:rFonts w:ascii="Times New Roman" w:hAnsi="Times New Roman"/>
          <w:sz w:val="18"/>
          <w:szCs w:val="18"/>
        </w:rPr>
        <w:t>§ 18(a).</w:t>
      </w:r>
    </w:p>
    <w:p w14:paraId="040557B2" w14:textId="77777777" w:rsidR="002B72E2" w:rsidRPr="008971D9" w:rsidRDefault="002B72E2" w:rsidP="002B72E2">
      <w:pPr>
        <w:pStyle w:val="FootnoteText"/>
        <w:ind w:firstLine="0"/>
        <w:rPr>
          <w:rFonts w:ascii="Times New Roman" w:hAnsi="Times New Roman"/>
          <w:sz w:val="18"/>
          <w:szCs w:val="18"/>
        </w:rPr>
      </w:pPr>
    </w:p>
  </w:footnote>
  <w:footnote w:id="43">
    <w:p w14:paraId="54D2544A" w14:textId="5C01E8A2" w:rsidR="006F3423" w:rsidRPr="008971D9" w:rsidRDefault="006F3423"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37 C.F.R. § 42.301.</w:t>
      </w:r>
    </w:p>
    <w:p w14:paraId="504665B1" w14:textId="77777777" w:rsidR="002B72E2" w:rsidRPr="008971D9" w:rsidRDefault="002B72E2" w:rsidP="002B72E2">
      <w:pPr>
        <w:pStyle w:val="FootnoteText"/>
        <w:ind w:firstLine="0"/>
        <w:rPr>
          <w:rFonts w:ascii="Times New Roman" w:hAnsi="Times New Roman"/>
          <w:sz w:val="18"/>
          <w:szCs w:val="18"/>
        </w:rPr>
      </w:pPr>
    </w:p>
  </w:footnote>
  <w:footnote w:id="44">
    <w:p w14:paraId="23F87ED7" w14:textId="77777777" w:rsidR="006F3423" w:rsidRPr="008971D9" w:rsidRDefault="006F3423"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Pr="008971D9">
        <w:rPr>
          <w:rFonts w:ascii="Times New Roman" w:hAnsi="Times New Roman"/>
          <w:i/>
          <w:iCs/>
          <w:sz w:val="18"/>
          <w:szCs w:val="18"/>
        </w:rPr>
        <w:t xml:space="preserve">Id. </w:t>
      </w:r>
      <w:r w:rsidRPr="008971D9">
        <w:rPr>
          <w:rFonts w:ascii="Times New Roman" w:hAnsi="Times New Roman"/>
          <w:sz w:val="18"/>
          <w:szCs w:val="18"/>
        </w:rPr>
        <w:t>§ 6(a).</w:t>
      </w:r>
    </w:p>
  </w:footnote>
  <w:footnote w:id="45">
    <w:p w14:paraId="6C4CE161" w14:textId="72BA134A" w:rsidR="00C44032" w:rsidRDefault="00C44032" w:rsidP="00AD1C68">
      <w:pPr>
        <w:pStyle w:val="FootnoteText"/>
        <w:ind w:firstLine="0"/>
        <w:rPr>
          <w:rFonts w:ascii="Times New Roman" w:hAnsi="Times New Roman"/>
          <w:sz w:val="18"/>
          <w:szCs w:val="18"/>
          <w:lang w:eastAsia="ko-KR"/>
        </w:rPr>
      </w:pPr>
      <w:r w:rsidRPr="008971D9">
        <w:rPr>
          <w:rStyle w:val="FootnoteReference"/>
          <w:sz w:val="18"/>
          <w:szCs w:val="18"/>
        </w:rPr>
        <w:footnoteRef/>
      </w:r>
      <w:r w:rsidRPr="008971D9">
        <w:rPr>
          <w:sz w:val="18"/>
          <w:szCs w:val="18"/>
        </w:rPr>
        <w:t xml:space="preserve"> </w:t>
      </w:r>
      <w:r w:rsidRPr="008971D9">
        <w:rPr>
          <w:rFonts w:ascii="Times New Roman" w:hAnsi="Times New Roman"/>
          <w:sz w:val="18"/>
          <w:szCs w:val="18"/>
          <w:lang w:eastAsia="ko-KR"/>
        </w:rPr>
        <w:t>35 U.S.C. § 6(a) (2000)</w:t>
      </w:r>
      <w:r w:rsidR="005E36E9">
        <w:rPr>
          <w:rFonts w:ascii="Times New Roman" w:hAnsi="Times New Roman"/>
          <w:sz w:val="18"/>
          <w:szCs w:val="18"/>
          <w:lang w:eastAsia="ko-KR"/>
        </w:rPr>
        <w:t>.</w:t>
      </w:r>
    </w:p>
    <w:p w14:paraId="6782E535" w14:textId="77777777" w:rsidR="005E36E9" w:rsidRPr="008971D9" w:rsidRDefault="005E36E9" w:rsidP="00C44032">
      <w:pPr>
        <w:pStyle w:val="FootnoteText"/>
        <w:rPr>
          <w:sz w:val="18"/>
          <w:szCs w:val="18"/>
        </w:rPr>
      </w:pPr>
    </w:p>
  </w:footnote>
  <w:footnote w:id="46">
    <w:p w14:paraId="5C6F26BF" w14:textId="23A00EAD" w:rsidR="00C44032" w:rsidRDefault="00C44032" w:rsidP="00AD1C68">
      <w:pPr>
        <w:pStyle w:val="FootnoteText"/>
        <w:ind w:firstLine="0"/>
        <w:rPr>
          <w:sz w:val="18"/>
          <w:szCs w:val="18"/>
        </w:rPr>
      </w:pPr>
      <w:r w:rsidRPr="008971D9">
        <w:rPr>
          <w:rStyle w:val="FootnoteReference"/>
          <w:sz w:val="18"/>
          <w:szCs w:val="18"/>
        </w:rPr>
        <w:footnoteRef/>
      </w:r>
      <w:r w:rsidRPr="008971D9">
        <w:rPr>
          <w:sz w:val="18"/>
          <w:szCs w:val="18"/>
        </w:rPr>
        <w:t xml:space="preserve"> </w:t>
      </w:r>
      <w:r w:rsidR="005E36E9">
        <w:rPr>
          <w:sz w:val="18"/>
          <w:szCs w:val="18"/>
        </w:rPr>
        <w:t xml:space="preserve">Walker &amp; Wasserman, </w:t>
      </w:r>
      <w:r w:rsidR="005E36E9" w:rsidRPr="005E36E9">
        <w:rPr>
          <w:i/>
          <w:iCs/>
          <w:sz w:val="18"/>
          <w:szCs w:val="18"/>
        </w:rPr>
        <w:t>supra</w:t>
      </w:r>
      <w:r w:rsidR="005E36E9">
        <w:rPr>
          <w:sz w:val="18"/>
          <w:szCs w:val="18"/>
        </w:rPr>
        <w:t xml:space="preserve"> note 1, </w:t>
      </w:r>
      <w:r w:rsidRPr="008971D9">
        <w:rPr>
          <w:sz w:val="18"/>
          <w:szCs w:val="18"/>
        </w:rPr>
        <w:t xml:space="preserve"> </w:t>
      </w:r>
      <w:r w:rsidR="005E36E9">
        <w:rPr>
          <w:sz w:val="18"/>
          <w:szCs w:val="18"/>
        </w:rPr>
        <w:t>a</w:t>
      </w:r>
      <w:r w:rsidRPr="008971D9">
        <w:rPr>
          <w:sz w:val="18"/>
          <w:szCs w:val="18"/>
        </w:rPr>
        <w:t>t n. 106.</w:t>
      </w:r>
    </w:p>
    <w:p w14:paraId="4E5FD651" w14:textId="77777777" w:rsidR="005E36E9" w:rsidRPr="008971D9" w:rsidRDefault="005E36E9" w:rsidP="00C44032">
      <w:pPr>
        <w:pStyle w:val="FootnoteText"/>
        <w:rPr>
          <w:sz w:val="18"/>
          <w:szCs w:val="18"/>
        </w:rPr>
      </w:pPr>
    </w:p>
  </w:footnote>
  <w:footnote w:id="47">
    <w:p w14:paraId="2F2E456E" w14:textId="77777777" w:rsidR="00C44032" w:rsidRPr="00AD1C68" w:rsidRDefault="00C44032" w:rsidP="00AD1C68">
      <w:pPr>
        <w:pStyle w:val="FootnoteText"/>
        <w:ind w:firstLine="0"/>
        <w:rPr>
          <w:i/>
          <w:iCs/>
          <w:sz w:val="18"/>
          <w:szCs w:val="18"/>
        </w:rPr>
      </w:pPr>
      <w:r w:rsidRPr="008971D9">
        <w:rPr>
          <w:rStyle w:val="FootnoteReference"/>
          <w:sz w:val="18"/>
          <w:szCs w:val="18"/>
        </w:rPr>
        <w:footnoteRef/>
      </w:r>
      <w:r w:rsidRPr="008971D9">
        <w:rPr>
          <w:sz w:val="18"/>
          <w:szCs w:val="18"/>
        </w:rPr>
        <w:t xml:space="preserve"> </w:t>
      </w:r>
      <w:r w:rsidRPr="00AD1C68">
        <w:rPr>
          <w:i/>
          <w:iCs/>
          <w:sz w:val="18"/>
          <w:szCs w:val="18"/>
        </w:rPr>
        <w:t>Id.</w:t>
      </w:r>
    </w:p>
  </w:footnote>
  <w:footnote w:id="48">
    <w:p w14:paraId="2AE4EDA9" w14:textId="2CC068B0" w:rsidR="008916E1" w:rsidRPr="008971D9" w:rsidRDefault="008916E1" w:rsidP="002B72E2">
      <w:pPr>
        <w:pStyle w:val="NormalWeb"/>
        <w:rPr>
          <w:sz w:val="18"/>
          <w:szCs w:val="18"/>
        </w:rPr>
      </w:pPr>
      <w:r w:rsidRPr="008971D9">
        <w:rPr>
          <w:rStyle w:val="FootnoteReference"/>
          <w:sz w:val="18"/>
          <w:szCs w:val="18"/>
        </w:rPr>
        <w:footnoteRef/>
      </w:r>
      <w:r w:rsidRPr="008971D9">
        <w:rPr>
          <w:sz w:val="18"/>
          <w:szCs w:val="18"/>
        </w:rPr>
        <w:t xml:space="preserve"> 35 U.S.C. § 314(a) (2012) (providing that the standard for instituting an inter partes review proceeding is a “reasonable likelihood that the petitioner would prevail with respect to at least [one] of the claims challenged in the petition”); </w:t>
      </w:r>
    </w:p>
  </w:footnote>
  <w:footnote w:id="49">
    <w:p w14:paraId="0F26BD6C" w14:textId="77777777" w:rsidR="006F3423" w:rsidRPr="008971D9" w:rsidRDefault="006F3423" w:rsidP="002B72E2">
      <w:pPr>
        <w:pStyle w:val="NormalWeb"/>
        <w:rPr>
          <w:sz w:val="18"/>
          <w:szCs w:val="18"/>
        </w:rPr>
      </w:pPr>
      <w:r w:rsidRPr="008971D9">
        <w:rPr>
          <w:rStyle w:val="FootnoteReference"/>
          <w:sz w:val="18"/>
          <w:szCs w:val="18"/>
        </w:rPr>
        <w:footnoteRef/>
      </w:r>
      <w:r w:rsidRPr="008971D9">
        <w:rPr>
          <w:sz w:val="18"/>
          <w:szCs w:val="18"/>
        </w:rPr>
        <w:t xml:space="preserve"> Phillips, Matthew and Laurence, Kevin. 2011. “Changes to Reexamination Under the America Invents Act.” Available at http://www.stoel.com/files/Changes_to_Reexamination_under_the_America_Invents_Act_November_2011_ IP_Today.pdf</w:t>
      </w:r>
    </w:p>
  </w:footnote>
  <w:footnote w:id="50">
    <w:p w14:paraId="5C3D9E5E" w14:textId="6C7CEB4C" w:rsidR="006F3423" w:rsidRPr="008971D9" w:rsidRDefault="006F3423"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Bar &amp; Costello, </w:t>
      </w:r>
      <w:r w:rsidRPr="008971D9">
        <w:rPr>
          <w:rFonts w:ascii="Times New Roman" w:hAnsi="Times New Roman"/>
          <w:i/>
          <w:iCs/>
          <w:sz w:val="18"/>
          <w:szCs w:val="18"/>
        </w:rPr>
        <w:t>supra</w:t>
      </w:r>
      <w:r w:rsidRPr="008971D9">
        <w:rPr>
          <w:rFonts w:ascii="Times New Roman" w:hAnsi="Times New Roman"/>
          <w:sz w:val="18"/>
          <w:szCs w:val="18"/>
        </w:rPr>
        <w:t xml:space="preserve"> note, at 13.</w:t>
      </w:r>
    </w:p>
    <w:p w14:paraId="0F5BA7C4" w14:textId="77777777" w:rsidR="002B72E2" w:rsidRPr="008971D9" w:rsidRDefault="002B72E2" w:rsidP="006F3423">
      <w:pPr>
        <w:pStyle w:val="FootnoteText"/>
        <w:rPr>
          <w:rFonts w:ascii="Times New Roman" w:hAnsi="Times New Roman"/>
          <w:sz w:val="18"/>
          <w:szCs w:val="18"/>
        </w:rPr>
      </w:pPr>
    </w:p>
  </w:footnote>
  <w:footnote w:id="51">
    <w:p w14:paraId="42F15696" w14:textId="4A3FC612" w:rsidR="006F3423" w:rsidRPr="008971D9" w:rsidRDefault="006F3423" w:rsidP="002B72E2">
      <w:pPr>
        <w:pStyle w:val="FootnoteText"/>
        <w:ind w:firstLine="0"/>
        <w:rPr>
          <w:rFonts w:ascii="Times New Roman" w:hAnsi="Times New Roman"/>
          <w:i/>
          <w:iCs/>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Pr="008971D9">
        <w:rPr>
          <w:rFonts w:ascii="Times New Roman" w:hAnsi="Times New Roman"/>
          <w:i/>
          <w:iCs/>
          <w:sz w:val="18"/>
          <w:szCs w:val="18"/>
        </w:rPr>
        <w:t>Id.</w:t>
      </w:r>
    </w:p>
    <w:p w14:paraId="0B9E7F67" w14:textId="77777777" w:rsidR="002B72E2" w:rsidRPr="008971D9" w:rsidRDefault="002B72E2" w:rsidP="002B72E2">
      <w:pPr>
        <w:pStyle w:val="FootnoteText"/>
        <w:ind w:firstLine="0"/>
        <w:rPr>
          <w:rFonts w:ascii="Times New Roman" w:hAnsi="Times New Roman"/>
          <w:i/>
          <w:iCs/>
          <w:sz w:val="18"/>
          <w:szCs w:val="18"/>
        </w:rPr>
      </w:pPr>
    </w:p>
  </w:footnote>
  <w:footnote w:id="52">
    <w:p w14:paraId="3F939B8C" w14:textId="5A8A443E" w:rsidR="006F3423" w:rsidRPr="008971D9" w:rsidRDefault="006F3423"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By contrast, district court trials take as much as two or three years to proceed to completion. </w:t>
      </w:r>
    </w:p>
    <w:p w14:paraId="0568F6B6" w14:textId="77777777" w:rsidR="002B72E2" w:rsidRPr="008971D9" w:rsidRDefault="002B72E2" w:rsidP="002B72E2">
      <w:pPr>
        <w:pStyle w:val="FootnoteText"/>
        <w:ind w:firstLine="0"/>
        <w:rPr>
          <w:rFonts w:ascii="Times New Roman" w:hAnsi="Times New Roman"/>
          <w:sz w:val="18"/>
          <w:szCs w:val="18"/>
        </w:rPr>
      </w:pPr>
    </w:p>
  </w:footnote>
  <w:footnote w:id="53">
    <w:p w14:paraId="1CC328A5" w14:textId="26CD6515" w:rsidR="006F3423" w:rsidRPr="008971D9" w:rsidRDefault="006F3423"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37 C.F.R. § 42.107; 35 U.S.C. § 314(b).</w:t>
      </w:r>
    </w:p>
    <w:p w14:paraId="30AB9C9D" w14:textId="77777777" w:rsidR="002B72E2" w:rsidRPr="008971D9" w:rsidRDefault="002B72E2" w:rsidP="002B72E2">
      <w:pPr>
        <w:pStyle w:val="FootnoteText"/>
        <w:ind w:firstLine="0"/>
        <w:rPr>
          <w:rFonts w:ascii="Times New Roman" w:hAnsi="Times New Roman"/>
          <w:sz w:val="18"/>
          <w:szCs w:val="18"/>
        </w:rPr>
      </w:pPr>
    </w:p>
  </w:footnote>
  <w:footnote w:id="54">
    <w:p w14:paraId="05FB132B" w14:textId="288F1612" w:rsidR="006F3423" w:rsidRPr="008971D9" w:rsidRDefault="006F3423"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35 U.S.C. § 316(a)(11).</w:t>
      </w:r>
    </w:p>
    <w:p w14:paraId="144E6837" w14:textId="77777777" w:rsidR="002B72E2" w:rsidRPr="008971D9" w:rsidRDefault="002B72E2" w:rsidP="002B72E2">
      <w:pPr>
        <w:pStyle w:val="FootnoteText"/>
        <w:ind w:firstLine="0"/>
        <w:rPr>
          <w:rFonts w:ascii="Times New Roman" w:hAnsi="Times New Roman"/>
          <w:sz w:val="18"/>
          <w:szCs w:val="18"/>
        </w:rPr>
      </w:pPr>
    </w:p>
  </w:footnote>
  <w:footnote w:id="55">
    <w:p w14:paraId="652A32F3" w14:textId="1F00B7E3" w:rsidR="00804505" w:rsidRPr="008971D9" w:rsidRDefault="00804505"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35 U.S.C. § 313; 37 C.F.R. § 42.107.</w:t>
      </w:r>
    </w:p>
    <w:p w14:paraId="799B31E3" w14:textId="77777777" w:rsidR="002B72E2" w:rsidRPr="008971D9" w:rsidRDefault="002B72E2" w:rsidP="002B72E2">
      <w:pPr>
        <w:pStyle w:val="FootnoteText"/>
        <w:ind w:firstLine="0"/>
        <w:rPr>
          <w:rFonts w:ascii="Times New Roman" w:hAnsi="Times New Roman"/>
          <w:sz w:val="18"/>
          <w:szCs w:val="18"/>
        </w:rPr>
      </w:pPr>
    </w:p>
  </w:footnote>
  <w:footnote w:id="56">
    <w:p w14:paraId="1EF18FFC" w14:textId="51D5DB08" w:rsidR="00804505" w:rsidRPr="008971D9" w:rsidRDefault="00804505"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35 U.S.C. § 314(b)(1). If the patentee does not file a response, the PTAB still rules on the petitioner’s motion and must do so within six months of the filing date of the initial petition. 35 U.S.C. § 314(b)(2).</w:t>
      </w:r>
    </w:p>
    <w:p w14:paraId="1440AEA1" w14:textId="77777777" w:rsidR="002B72E2" w:rsidRPr="008971D9" w:rsidRDefault="002B72E2" w:rsidP="002B72E2">
      <w:pPr>
        <w:pStyle w:val="FootnoteText"/>
        <w:ind w:firstLine="0"/>
        <w:rPr>
          <w:rFonts w:ascii="Times New Roman" w:hAnsi="Times New Roman"/>
          <w:sz w:val="18"/>
          <w:szCs w:val="18"/>
        </w:rPr>
      </w:pPr>
    </w:p>
  </w:footnote>
  <w:footnote w:id="57">
    <w:p w14:paraId="342D8C1E" w14:textId="3F39DF3C" w:rsidR="00804505" w:rsidRPr="008971D9" w:rsidRDefault="00804505"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Pr="008971D9">
        <w:rPr>
          <w:rFonts w:ascii="Times New Roman" w:hAnsi="Times New Roman"/>
          <w:i/>
          <w:iCs/>
          <w:sz w:val="18"/>
          <w:szCs w:val="18"/>
        </w:rPr>
        <w:t>Cuozzo Speed Tech.s, LLC v. Lee</w:t>
      </w:r>
      <w:r w:rsidRPr="008971D9">
        <w:rPr>
          <w:rFonts w:ascii="Times New Roman" w:hAnsi="Times New Roman"/>
          <w:sz w:val="18"/>
          <w:szCs w:val="18"/>
        </w:rPr>
        <w:t>, 136 S.Ct. 2131(2016).</w:t>
      </w:r>
    </w:p>
    <w:p w14:paraId="2A35C9B4" w14:textId="77777777" w:rsidR="00A4626E" w:rsidRPr="008971D9" w:rsidRDefault="00A4626E" w:rsidP="002B72E2">
      <w:pPr>
        <w:pStyle w:val="FootnoteText"/>
        <w:ind w:firstLine="0"/>
        <w:rPr>
          <w:rFonts w:ascii="Times New Roman" w:hAnsi="Times New Roman"/>
          <w:sz w:val="18"/>
          <w:szCs w:val="18"/>
        </w:rPr>
      </w:pPr>
    </w:p>
  </w:footnote>
  <w:footnote w:id="58">
    <w:p w14:paraId="52651F02" w14:textId="10781F79" w:rsidR="00804505" w:rsidRPr="008971D9" w:rsidRDefault="00804505"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35 U.S.C. § 317; 37 C.F.R. § 42.74.</w:t>
      </w:r>
    </w:p>
    <w:p w14:paraId="6B5C1549" w14:textId="77777777" w:rsidR="002B72E2" w:rsidRPr="008971D9" w:rsidRDefault="002B72E2" w:rsidP="002B72E2">
      <w:pPr>
        <w:pStyle w:val="FootnoteText"/>
        <w:ind w:firstLine="0"/>
        <w:rPr>
          <w:rFonts w:ascii="Times New Roman" w:hAnsi="Times New Roman"/>
          <w:sz w:val="18"/>
          <w:szCs w:val="18"/>
        </w:rPr>
      </w:pPr>
    </w:p>
  </w:footnote>
  <w:footnote w:id="59">
    <w:p w14:paraId="0C636DD7" w14:textId="46A9716D" w:rsidR="00804505" w:rsidRPr="008971D9" w:rsidRDefault="00804505"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138 S.Ct. 1348 (2018).</w:t>
      </w:r>
    </w:p>
    <w:p w14:paraId="6D714F9E" w14:textId="77777777" w:rsidR="002B72E2" w:rsidRPr="008971D9" w:rsidRDefault="002B72E2" w:rsidP="002B72E2">
      <w:pPr>
        <w:pStyle w:val="FootnoteText"/>
        <w:ind w:firstLine="0"/>
        <w:rPr>
          <w:rFonts w:ascii="Times New Roman" w:hAnsi="Times New Roman"/>
          <w:sz w:val="18"/>
          <w:szCs w:val="18"/>
        </w:rPr>
      </w:pPr>
    </w:p>
  </w:footnote>
  <w:footnote w:id="60">
    <w:p w14:paraId="5D7989F9" w14:textId="2F084541" w:rsidR="00804505" w:rsidRPr="008971D9" w:rsidRDefault="00804505" w:rsidP="002B72E2">
      <w:pPr>
        <w:pStyle w:val="FootnoteText"/>
        <w:ind w:firstLine="0"/>
        <w:rPr>
          <w:rFonts w:ascii="Times New Roman" w:hAnsi="Times New Roman"/>
          <w:i/>
          <w:iCs/>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Pr="008971D9">
        <w:rPr>
          <w:rFonts w:ascii="Times New Roman" w:hAnsi="Times New Roman"/>
          <w:i/>
          <w:iCs/>
          <w:sz w:val="18"/>
          <w:szCs w:val="18"/>
        </w:rPr>
        <w:t>Id.</w:t>
      </w:r>
    </w:p>
    <w:p w14:paraId="6B5594F8" w14:textId="77777777" w:rsidR="002B72E2" w:rsidRPr="008971D9" w:rsidRDefault="002B72E2" w:rsidP="002B72E2">
      <w:pPr>
        <w:pStyle w:val="FootnoteText"/>
        <w:ind w:firstLine="0"/>
        <w:rPr>
          <w:rFonts w:ascii="Times New Roman" w:hAnsi="Times New Roman"/>
          <w:i/>
          <w:iCs/>
          <w:sz w:val="18"/>
          <w:szCs w:val="18"/>
        </w:rPr>
      </w:pPr>
    </w:p>
  </w:footnote>
  <w:footnote w:id="61">
    <w:p w14:paraId="1AAF107E" w14:textId="4D40DD70" w:rsidR="00804505" w:rsidRPr="008971D9" w:rsidRDefault="00804505" w:rsidP="002B72E2">
      <w:pPr>
        <w:pStyle w:val="FootnoteText"/>
        <w:ind w:firstLine="0"/>
        <w:rPr>
          <w:rFonts w:ascii="Times New Roman" w:hAnsi="Times New Roman"/>
          <w:i/>
          <w:iCs/>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Pr="008971D9">
        <w:rPr>
          <w:rFonts w:ascii="Times New Roman" w:hAnsi="Times New Roman"/>
          <w:i/>
          <w:iCs/>
          <w:sz w:val="18"/>
          <w:szCs w:val="18"/>
        </w:rPr>
        <w:t>Id.</w:t>
      </w:r>
    </w:p>
    <w:p w14:paraId="4C7BE887" w14:textId="77777777" w:rsidR="002B72E2" w:rsidRPr="008971D9" w:rsidRDefault="002B72E2" w:rsidP="002B72E2">
      <w:pPr>
        <w:pStyle w:val="FootnoteText"/>
        <w:ind w:firstLine="0"/>
        <w:rPr>
          <w:rFonts w:ascii="Times New Roman" w:hAnsi="Times New Roman"/>
          <w:i/>
          <w:iCs/>
          <w:sz w:val="18"/>
          <w:szCs w:val="18"/>
        </w:rPr>
      </w:pPr>
    </w:p>
  </w:footnote>
  <w:footnote w:id="62">
    <w:p w14:paraId="49186EFD" w14:textId="489470E3" w:rsidR="00804505" w:rsidRPr="008971D9" w:rsidRDefault="00804505"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Pr="008971D9">
        <w:rPr>
          <w:rFonts w:ascii="Times New Roman" w:hAnsi="Times New Roman"/>
          <w:i/>
          <w:iCs/>
          <w:sz w:val="18"/>
          <w:szCs w:val="18"/>
        </w:rPr>
        <w:t xml:space="preserve">Id. </w:t>
      </w:r>
      <w:r w:rsidRPr="008971D9">
        <w:rPr>
          <w:rFonts w:ascii="Times New Roman" w:hAnsi="Times New Roman"/>
          <w:sz w:val="18"/>
          <w:szCs w:val="18"/>
        </w:rPr>
        <w:t xml:space="preserve">The analysis presented at this point in this paper does not take into account this wrinkle. Future iterations of this Article will address this in more depth to see how decisions before and after  </w:t>
      </w:r>
      <w:r w:rsidRPr="008971D9">
        <w:rPr>
          <w:rFonts w:ascii="Times New Roman" w:hAnsi="Times New Roman"/>
          <w:i/>
          <w:iCs/>
          <w:sz w:val="18"/>
          <w:szCs w:val="18"/>
        </w:rPr>
        <w:t>Cuozzo</w:t>
      </w:r>
      <w:r w:rsidRPr="008971D9">
        <w:rPr>
          <w:rFonts w:ascii="Times New Roman" w:hAnsi="Times New Roman"/>
          <w:sz w:val="18"/>
          <w:szCs w:val="18"/>
        </w:rPr>
        <w:t xml:space="preserve"> may vary.</w:t>
      </w:r>
    </w:p>
    <w:p w14:paraId="01BB993F" w14:textId="77777777" w:rsidR="002B72E2" w:rsidRPr="008971D9" w:rsidRDefault="002B72E2" w:rsidP="002B72E2">
      <w:pPr>
        <w:pStyle w:val="FootnoteText"/>
        <w:ind w:firstLine="0"/>
        <w:rPr>
          <w:rFonts w:ascii="Times New Roman" w:hAnsi="Times New Roman"/>
          <w:sz w:val="18"/>
          <w:szCs w:val="18"/>
        </w:rPr>
      </w:pPr>
    </w:p>
  </w:footnote>
  <w:footnote w:id="63">
    <w:p w14:paraId="4966C91C" w14:textId="14F2C521" w:rsidR="00804505" w:rsidRPr="008971D9" w:rsidRDefault="00804505"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Helmers &amp; Love, </w:t>
      </w:r>
      <w:r w:rsidRPr="008971D9">
        <w:rPr>
          <w:rFonts w:ascii="Times New Roman" w:hAnsi="Times New Roman"/>
          <w:i/>
          <w:iCs/>
          <w:sz w:val="18"/>
          <w:szCs w:val="18"/>
        </w:rPr>
        <w:t>supra</w:t>
      </w:r>
      <w:r w:rsidRPr="008971D9">
        <w:rPr>
          <w:rFonts w:ascii="Times New Roman" w:hAnsi="Times New Roman"/>
          <w:sz w:val="18"/>
          <w:szCs w:val="18"/>
        </w:rPr>
        <w:t xml:space="preserve"> note, at 2.</w:t>
      </w:r>
    </w:p>
    <w:p w14:paraId="40814228" w14:textId="77777777" w:rsidR="002B72E2" w:rsidRPr="008971D9" w:rsidRDefault="002B72E2" w:rsidP="002B72E2">
      <w:pPr>
        <w:pStyle w:val="FootnoteText"/>
        <w:ind w:firstLine="0"/>
        <w:rPr>
          <w:rFonts w:ascii="Times New Roman" w:hAnsi="Times New Roman"/>
          <w:sz w:val="18"/>
          <w:szCs w:val="18"/>
        </w:rPr>
      </w:pPr>
    </w:p>
  </w:footnote>
  <w:footnote w:id="64">
    <w:p w14:paraId="073E11EA" w14:textId="39D3C7BB" w:rsidR="00804505" w:rsidRPr="008971D9" w:rsidRDefault="00804505" w:rsidP="002B72E2">
      <w:pPr>
        <w:pStyle w:val="FootnoteText"/>
        <w:ind w:firstLine="0"/>
        <w:rPr>
          <w:rFonts w:ascii="Times New Roman" w:hAnsi="Times New Roman"/>
          <w:i/>
          <w:iCs/>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Pr="008971D9">
        <w:rPr>
          <w:rFonts w:ascii="Times New Roman" w:hAnsi="Times New Roman"/>
          <w:i/>
          <w:iCs/>
          <w:sz w:val="18"/>
          <w:szCs w:val="18"/>
        </w:rPr>
        <w:t>Id.</w:t>
      </w:r>
      <w:r w:rsidRPr="008971D9">
        <w:rPr>
          <w:rFonts w:ascii="Times New Roman" w:hAnsi="Times New Roman"/>
          <w:sz w:val="18"/>
          <w:szCs w:val="18"/>
        </w:rPr>
        <w:t xml:space="preserve"> Helmers &amp; Love also note that current statistic is about 70%, but this number is likely deflated since parties file multiple motions for a stay at different times during the district court litigation. </w:t>
      </w:r>
      <w:r w:rsidRPr="008971D9">
        <w:rPr>
          <w:rFonts w:ascii="Times New Roman" w:hAnsi="Times New Roman"/>
          <w:i/>
          <w:iCs/>
          <w:sz w:val="18"/>
          <w:szCs w:val="18"/>
        </w:rPr>
        <w:t>Id.</w:t>
      </w:r>
      <w:r w:rsidRPr="008971D9">
        <w:rPr>
          <w:rFonts w:ascii="Times New Roman" w:hAnsi="Times New Roman"/>
          <w:sz w:val="18"/>
          <w:szCs w:val="18"/>
        </w:rPr>
        <w:t xml:space="preserve"> at 2 n.6. </w:t>
      </w:r>
      <w:r w:rsidRPr="008971D9">
        <w:rPr>
          <w:rFonts w:ascii="Times New Roman" w:hAnsi="Times New Roman"/>
          <w:i/>
          <w:iCs/>
          <w:sz w:val="18"/>
          <w:szCs w:val="18"/>
        </w:rPr>
        <w:t xml:space="preserve">See </w:t>
      </w:r>
      <w:r w:rsidRPr="008971D9">
        <w:rPr>
          <w:rFonts w:ascii="Times New Roman" w:hAnsi="Times New Roman"/>
          <w:sz w:val="18"/>
          <w:szCs w:val="18"/>
        </w:rPr>
        <w:t xml:space="preserve">Love &amp; Ambwani, </w:t>
      </w:r>
      <w:r w:rsidRPr="008971D9">
        <w:rPr>
          <w:rFonts w:ascii="Times New Roman" w:hAnsi="Times New Roman"/>
          <w:i/>
          <w:iCs/>
          <w:sz w:val="18"/>
          <w:szCs w:val="18"/>
        </w:rPr>
        <w:t xml:space="preserve">supra </w:t>
      </w:r>
      <w:r w:rsidRPr="008971D9">
        <w:rPr>
          <w:rFonts w:ascii="Times New Roman" w:hAnsi="Times New Roman"/>
          <w:sz w:val="18"/>
          <w:szCs w:val="18"/>
        </w:rPr>
        <w:t xml:space="preserve">note. Motions to stay before the PTAB institutes review are granted much less frequently. </w:t>
      </w:r>
      <w:r w:rsidRPr="008971D9">
        <w:rPr>
          <w:rFonts w:ascii="Times New Roman" w:hAnsi="Times New Roman"/>
          <w:i/>
          <w:iCs/>
          <w:sz w:val="18"/>
          <w:szCs w:val="18"/>
        </w:rPr>
        <w:t xml:space="preserve">Id. </w:t>
      </w:r>
      <w:r w:rsidRPr="008971D9">
        <w:rPr>
          <w:rFonts w:ascii="Times New Roman" w:hAnsi="Times New Roman"/>
          <w:sz w:val="18"/>
          <w:szCs w:val="18"/>
        </w:rPr>
        <w:t xml:space="preserve">Moreover, parties also file motions to stay even when the IPR does not involve them; these types of motions are granted much less frequently than motions petitioned by the parties actually involved in the PTAB proceeding. </w:t>
      </w:r>
      <w:r w:rsidRPr="008971D9">
        <w:rPr>
          <w:rFonts w:ascii="Times New Roman" w:hAnsi="Times New Roman"/>
          <w:i/>
          <w:iCs/>
          <w:sz w:val="18"/>
          <w:szCs w:val="18"/>
        </w:rPr>
        <w:t>Id.</w:t>
      </w:r>
    </w:p>
    <w:p w14:paraId="0CA22A8D" w14:textId="77777777" w:rsidR="002B72E2" w:rsidRPr="008971D9" w:rsidRDefault="002B72E2" w:rsidP="002B72E2">
      <w:pPr>
        <w:pStyle w:val="FootnoteText"/>
        <w:ind w:firstLine="0"/>
        <w:rPr>
          <w:rFonts w:ascii="Times New Roman" w:hAnsi="Times New Roman"/>
          <w:sz w:val="18"/>
          <w:szCs w:val="18"/>
        </w:rPr>
      </w:pPr>
    </w:p>
  </w:footnote>
  <w:footnote w:id="65">
    <w:p w14:paraId="7341F035" w14:textId="44471FFD" w:rsidR="00804505" w:rsidRPr="008971D9" w:rsidRDefault="00804505"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Helmers &amp; Love, </w:t>
      </w:r>
      <w:r w:rsidRPr="008971D9">
        <w:rPr>
          <w:rFonts w:ascii="Times New Roman" w:hAnsi="Times New Roman"/>
          <w:i/>
          <w:iCs/>
          <w:sz w:val="18"/>
          <w:szCs w:val="18"/>
        </w:rPr>
        <w:t>supra</w:t>
      </w:r>
      <w:r w:rsidRPr="008971D9">
        <w:rPr>
          <w:rFonts w:ascii="Times New Roman" w:hAnsi="Times New Roman"/>
          <w:sz w:val="18"/>
          <w:szCs w:val="18"/>
        </w:rPr>
        <w:t xml:space="preserve"> note, at 7. </w:t>
      </w:r>
    </w:p>
    <w:p w14:paraId="77A312A9" w14:textId="77777777" w:rsidR="002B72E2" w:rsidRPr="008971D9" w:rsidRDefault="002B72E2" w:rsidP="002B72E2">
      <w:pPr>
        <w:pStyle w:val="FootnoteText"/>
        <w:ind w:firstLine="0"/>
        <w:rPr>
          <w:rFonts w:ascii="Times New Roman" w:hAnsi="Times New Roman"/>
          <w:sz w:val="18"/>
          <w:szCs w:val="18"/>
        </w:rPr>
      </w:pPr>
    </w:p>
  </w:footnote>
  <w:footnote w:id="66">
    <w:p w14:paraId="43A915EB" w14:textId="460FD0DC" w:rsidR="00804505" w:rsidRPr="008971D9" w:rsidRDefault="00804505"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37 C.F.R. § 41.120.</w:t>
      </w:r>
    </w:p>
    <w:p w14:paraId="67CC5E50" w14:textId="77777777" w:rsidR="002B72E2" w:rsidRPr="008971D9" w:rsidRDefault="002B72E2" w:rsidP="002B72E2">
      <w:pPr>
        <w:pStyle w:val="FootnoteText"/>
        <w:ind w:firstLine="0"/>
        <w:rPr>
          <w:rFonts w:ascii="Times New Roman" w:hAnsi="Times New Roman"/>
          <w:sz w:val="18"/>
          <w:szCs w:val="18"/>
        </w:rPr>
      </w:pPr>
    </w:p>
  </w:footnote>
  <w:footnote w:id="67">
    <w:p w14:paraId="48BAAB2B" w14:textId="264B0D76" w:rsidR="00804505" w:rsidRPr="008971D9" w:rsidRDefault="00804505" w:rsidP="002B72E2">
      <w:pPr>
        <w:pStyle w:val="FootnoteText"/>
        <w:ind w:firstLine="0"/>
        <w:rPr>
          <w:rFonts w:ascii="Times New Roman" w:hAnsi="Times New Roman"/>
          <w:i/>
          <w:iCs/>
          <w:sz w:val="18"/>
          <w:szCs w:val="18"/>
        </w:rPr>
      </w:pPr>
      <w:r w:rsidRPr="008971D9">
        <w:rPr>
          <w:rStyle w:val="FootnoteReference"/>
          <w:rFonts w:ascii="Times New Roman" w:hAnsi="Times New Roman"/>
          <w:sz w:val="18"/>
          <w:szCs w:val="18"/>
        </w:rPr>
        <w:footnoteRef/>
      </w:r>
      <w:r w:rsidRPr="008971D9">
        <w:rPr>
          <w:rFonts w:ascii="Times New Roman" w:hAnsi="Times New Roman"/>
          <w:i/>
          <w:iCs/>
          <w:sz w:val="18"/>
          <w:szCs w:val="18"/>
        </w:rPr>
        <w:t xml:space="preserve"> Id.</w:t>
      </w:r>
    </w:p>
    <w:p w14:paraId="28503F03" w14:textId="77777777" w:rsidR="002B72E2" w:rsidRPr="008971D9" w:rsidRDefault="002B72E2" w:rsidP="002B72E2">
      <w:pPr>
        <w:pStyle w:val="FootnoteText"/>
        <w:ind w:firstLine="0"/>
        <w:rPr>
          <w:rFonts w:ascii="Times New Roman" w:hAnsi="Times New Roman"/>
          <w:i/>
          <w:iCs/>
          <w:sz w:val="18"/>
          <w:szCs w:val="18"/>
          <w:u w:val="single"/>
        </w:rPr>
      </w:pPr>
    </w:p>
  </w:footnote>
  <w:footnote w:id="68">
    <w:p w14:paraId="3C455F72" w14:textId="298E1315" w:rsidR="00804505" w:rsidRPr="008971D9" w:rsidRDefault="00804505"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i/>
          <w:iCs/>
          <w:sz w:val="18"/>
          <w:szCs w:val="18"/>
        </w:rPr>
        <w:t>Id.</w:t>
      </w:r>
      <w:r w:rsidRPr="008971D9">
        <w:rPr>
          <w:rFonts w:ascii="Times New Roman" w:hAnsi="Times New Roman"/>
          <w:sz w:val="18"/>
          <w:szCs w:val="18"/>
        </w:rPr>
        <w:t xml:space="preserve"> This is in contrast to the predecessor reexamination procedures where amendments were common. </w:t>
      </w:r>
    </w:p>
    <w:p w14:paraId="4A7EE0EC" w14:textId="77777777" w:rsidR="002B72E2" w:rsidRPr="008971D9" w:rsidRDefault="002B72E2" w:rsidP="002B72E2">
      <w:pPr>
        <w:pStyle w:val="FootnoteText"/>
        <w:ind w:firstLine="0"/>
        <w:rPr>
          <w:rFonts w:ascii="Times New Roman" w:hAnsi="Times New Roman"/>
          <w:sz w:val="18"/>
          <w:szCs w:val="18"/>
        </w:rPr>
      </w:pPr>
    </w:p>
  </w:footnote>
  <w:footnote w:id="69">
    <w:p w14:paraId="4C6B758D" w14:textId="0087A4D7" w:rsidR="00804505" w:rsidRPr="008971D9" w:rsidRDefault="00804505" w:rsidP="002B72E2">
      <w:pPr>
        <w:pStyle w:val="FootnoteText"/>
        <w:ind w:firstLine="0"/>
        <w:rPr>
          <w:rFonts w:ascii="Times New Roman" w:hAnsi="Times New Roman"/>
          <w:i/>
          <w:iCs/>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Pr="008971D9">
        <w:rPr>
          <w:rFonts w:ascii="Times New Roman" w:hAnsi="Times New Roman"/>
          <w:i/>
          <w:iCs/>
          <w:sz w:val="18"/>
          <w:szCs w:val="18"/>
        </w:rPr>
        <w:t>Id.</w:t>
      </w:r>
    </w:p>
    <w:p w14:paraId="6ECB7D2E" w14:textId="77777777" w:rsidR="002B72E2" w:rsidRPr="008971D9" w:rsidRDefault="002B72E2" w:rsidP="002B72E2">
      <w:pPr>
        <w:pStyle w:val="FootnoteText"/>
        <w:ind w:firstLine="0"/>
        <w:rPr>
          <w:rFonts w:ascii="Times New Roman" w:hAnsi="Times New Roman"/>
          <w:i/>
          <w:iCs/>
          <w:sz w:val="18"/>
          <w:szCs w:val="18"/>
        </w:rPr>
      </w:pPr>
    </w:p>
  </w:footnote>
  <w:footnote w:id="70">
    <w:p w14:paraId="51897398" w14:textId="0F8E4CF2" w:rsidR="00804505" w:rsidRPr="008971D9" w:rsidRDefault="00804505" w:rsidP="002B72E2">
      <w:pPr>
        <w:pStyle w:val="FootnoteText"/>
        <w:ind w:firstLine="0"/>
        <w:rPr>
          <w:rFonts w:ascii="Times New Roman" w:hAnsi="Times New Roman"/>
          <w:i/>
          <w:iCs/>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Pr="008971D9">
        <w:rPr>
          <w:rFonts w:ascii="Times New Roman" w:hAnsi="Times New Roman"/>
          <w:i/>
          <w:iCs/>
          <w:sz w:val="18"/>
          <w:szCs w:val="18"/>
        </w:rPr>
        <w:t>Id.</w:t>
      </w:r>
    </w:p>
    <w:p w14:paraId="612A88E6" w14:textId="77777777" w:rsidR="002B72E2" w:rsidRPr="008971D9" w:rsidRDefault="002B72E2" w:rsidP="002B72E2">
      <w:pPr>
        <w:pStyle w:val="FootnoteText"/>
        <w:ind w:firstLine="0"/>
        <w:rPr>
          <w:rFonts w:ascii="Times New Roman" w:hAnsi="Times New Roman"/>
          <w:i/>
          <w:iCs/>
          <w:sz w:val="18"/>
          <w:szCs w:val="18"/>
        </w:rPr>
      </w:pPr>
    </w:p>
  </w:footnote>
  <w:footnote w:id="71">
    <w:p w14:paraId="2124721A" w14:textId="37D2C71B" w:rsidR="00804505" w:rsidRPr="008971D9" w:rsidRDefault="00804505"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35 U.S.C. § 319.</w:t>
      </w:r>
    </w:p>
    <w:p w14:paraId="2C2D31B3" w14:textId="77777777" w:rsidR="002B72E2" w:rsidRPr="008971D9" w:rsidRDefault="002B72E2" w:rsidP="002B72E2">
      <w:pPr>
        <w:pStyle w:val="FootnoteText"/>
        <w:ind w:firstLine="0"/>
        <w:rPr>
          <w:rFonts w:ascii="Times New Roman" w:hAnsi="Times New Roman"/>
          <w:sz w:val="18"/>
          <w:szCs w:val="18"/>
        </w:rPr>
      </w:pPr>
    </w:p>
  </w:footnote>
  <w:footnote w:id="72">
    <w:p w14:paraId="0E3A07CB" w14:textId="25855A47" w:rsidR="00804505" w:rsidRPr="008971D9" w:rsidRDefault="00804505"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Because the PTO is an administrative agency, it is subject to normal deference rules regarding appellate review.</w:t>
      </w:r>
    </w:p>
    <w:p w14:paraId="07E50F31" w14:textId="77777777" w:rsidR="002B72E2" w:rsidRPr="008971D9" w:rsidRDefault="002B72E2" w:rsidP="002B72E2">
      <w:pPr>
        <w:pStyle w:val="FootnoteText"/>
        <w:ind w:firstLine="0"/>
        <w:rPr>
          <w:rFonts w:ascii="Times New Roman" w:hAnsi="Times New Roman"/>
          <w:sz w:val="18"/>
          <w:szCs w:val="18"/>
        </w:rPr>
      </w:pPr>
    </w:p>
  </w:footnote>
  <w:footnote w:id="73">
    <w:p w14:paraId="6349C100" w14:textId="505F217F" w:rsidR="00804505" w:rsidRDefault="00804505" w:rsidP="002B72E2">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35 U.S.C. § 315(e)(2).</w:t>
      </w:r>
      <w:r w:rsidR="007D4082" w:rsidRPr="008971D9">
        <w:rPr>
          <w:rFonts w:ascii="Times New Roman" w:hAnsi="Times New Roman"/>
          <w:sz w:val="18"/>
          <w:szCs w:val="18"/>
        </w:rPr>
        <w:t xml:space="preserve"> For example, they could claim that other claims were invalid due to the same prior art, or they could argue that the claims were invalid because the invention was on sale or in public use more than one year before the patent was filed. Alternatively, the party can raise non-invalidity defenses, such as that the patent should not be enforced due to inequitable conduct before the PTO, or for other procedural reasons. </w:t>
      </w:r>
    </w:p>
    <w:p w14:paraId="6C94DF93" w14:textId="77777777" w:rsidR="00A77142" w:rsidRPr="008971D9" w:rsidRDefault="00A77142" w:rsidP="002B72E2">
      <w:pPr>
        <w:pStyle w:val="FootnoteText"/>
        <w:ind w:firstLine="0"/>
        <w:rPr>
          <w:rFonts w:ascii="Times New Roman" w:hAnsi="Times New Roman"/>
          <w:sz w:val="18"/>
          <w:szCs w:val="18"/>
        </w:rPr>
      </w:pPr>
    </w:p>
  </w:footnote>
  <w:footnote w:id="74">
    <w:p w14:paraId="360BEEC1" w14:textId="77777777" w:rsidR="0094162B" w:rsidRPr="005C067C" w:rsidRDefault="0094162B" w:rsidP="0094162B">
      <w:pPr>
        <w:pStyle w:val="FootnoteText"/>
        <w:ind w:firstLine="720"/>
        <w:rPr>
          <w:i/>
          <w:iCs/>
        </w:rPr>
      </w:pPr>
      <w:r w:rsidRPr="005C067C">
        <w:rPr>
          <w:rStyle w:val="FootnoteReference"/>
        </w:rPr>
        <w:footnoteRef/>
      </w:r>
      <w:r w:rsidRPr="005C067C">
        <w:t xml:space="preserve"> </w:t>
      </w:r>
      <w:r w:rsidRPr="005C067C">
        <w:rPr>
          <w:i/>
          <w:iCs/>
        </w:rPr>
        <w:t>Id.</w:t>
      </w:r>
    </w:p>
  </w:footnote>
  <w:footnote w:id="75">
    <w:p w14:paraId="02D320E8" w14:textId="77777777" w:rsidR="0094162B" w:rsidRPr="005C067C" w:rsidRDefault="0094162B" w:rsidP="0094162B">
      <w:pPr>
        <w:pStyle w:val="FootnoteText"/>
        <w:ind w:firstLine="720"/>
      </w:pPr>
      <w:r w:rsidRPr="005C067C">
        <w:rPr>
          <w:rStyle w:val="FootnoteReference"/>
        </w:rPr>
        <w:footnoteRef/>
      </w:r>
      <w:r w:rsidRPr="005C067C">
        <w:t xml:space="preserve"> Saurabh </w:t>
      </w:r>
      <w:proofErr w:type="spellStart"/>
      <w:r w:rsidRPr="005C067C">
        <w:t>Vishnubhakat</w:t>
      </w:r>
      <w:proofErr w:type="spellEnd"/>
      <w:r w:rsidRPr="005C067C">
        <w:t xml:space="preserve">, Arti K. Rai, &amp; Jay P. </w:t>
      </w:r>
      <w:proofErr w:type="spellStart"/>
      <w:r w:rsidRPr="005C067C">
        <w:t>Kesan</w:t>
      </w:r>
      <w:proofErr w:type="spellEnd"/>
      <w:r w:rsidRPr="005C067C">
        <w:t xml:space="preserve">, </w:t>
      </w:r>
      <w:r w:rsidRPr="005C067C">
        <w:rPr>
          <w:i/>
          <w:iCs/>
        </w:rPr>
        <w:t>Strategic Decision Making in Duel PTAB and District Court Proceedings</w:t>
      </w:r>
      <w:r w:rsidRPr="005C067C">
        <w:t xml:space="preserve">, </w:t>
      </w:r>
      <w:r w:rsidRPr="005C067C">
        <w:rPr>
          <w:smallCaps/>
        </w:rPr>
        <w:t>Berkeley Tech. L. J</w:t>
      </w:r>
      <w:r w:rsidRPr="005C067C">
        <w:t>. (2016).</w:t>
      </w:r>
    </w:p>
  </w:footnote>
  <w:footnote w:id="76">
    <w:p w14:paraId="78A21FFF" w14:textId="77777777" w:rsidR="0094162B" w:rsidRPr="005C067C" w:rsidRDefault="0094162B" w:rsidP="0094162B">
      <w:pPr>
        <w:pStyle w:val="FootnoteText"/>
        <w:ind w:firstLine="720"/>
        <w:rPr>
          <w:i/>
          <w:iCs/>
        </w:rPr>
      </w:pPr>
      <w:r w:rsidRPr="005C067C">
        <w:rPr>
          <w:rStyle w:val="FootnoteReference"/>
        </w:rPr>
        <w:footnoteRef/>
      </w:r>
      <w:r w:rsidRPr="005C067C">
        <w:t xml:space="preserve"> </w:t>
      </w:r>
      <w:r w:rsidRPr="005C067C">
        <w:rPr>
          <w:i/>
          <w:iCs/>
        </w:rPr>
        <w:t>Id.</w:t>
      </w:r>
    </w:p>
  </w:footnote>
  <w:footnote w:id="77">
    <w:p w14:paraId="7EB270EC" w14:textId="77777777" w:rsidR="0094162B" w:rsidRPr="005C067C" w:rsidRDefault="0094162B" w:rsidP="0094162B">
      <w:pPr>
        <w:pStyle w:val="FootnoteText"/>
        <w:ind w:firstLine="720"/>
        <w:rPr>
          <w:i/>
          <w:iCs/>
        </w:rPr>
      </w:pPr>
      <w:r w:rsidRPr="005C067C">
        <w:rPr>
          <w:rStyle w:val="FootnoteReference"/>
        </w:rPr>
        <w:footnoteRef/>
      </w:r>
      <w:r w:rsidRPr="005C067C">
        <w:t xml:space="preserve"> </w:t>
      </w:r>
      <w:r w:rsidRPr="005C067C">
        <w:rPr>
          <w:i/>
          <w:iCs/>
        </w:rPr>
        <w:t>Id.</w:t>
      </w:r>
    </w:p>
  </w:footnote>
  <w:footnote w:id="78">
    <w:p w14:paraId="1EA30519" w14:textId="77777777" w:rsidR="0094162B" w:rsidRPr="005C067C" w:rsidRDefault="0094162B" w:rsidP="0094162B">
      <w:pPr>
        <w:pStyle w:val="FootnoteText"/>
        <w:ind w:firstLine="720"/>
        <w:rPr>
          <w:i/>
          <w:iCs/>
        </w:rPr>
      </w:pPr>
      <w:r w:rsidRPr="005C067C">
        <w:rPr>
          <w:rStyle w:val="FootnoteReference"/>
        </w:rPr>
        <w:footnoteRef/>
      </w:r>
      <w:r w:rsidRPr="005C067C">
        <w:t xml:space="preserve"> </w:t>
      </w:r>
      <w:r w:rsidRPr="005C067C">
        <w:rPr>
          <w:i/>
          <w:iCs/>
        </w:rPr>
        <w:t>Id.</w:t>
      </w:r>
    </w:p>
  </w:footnote>
  <w:footnote w:id="79">
    <w:p w14:paraId="6F075131" w14:textId="77777777" w:rsidR="0094162B" w:rsidRPr="005C067C" w:rsidRDefault="0094162B" w:rsidP="0094162B">
      <w:pPr>
        <w:pStyle w:val="FootnoteText"/>
        <w:ind w:firstLine="720"/>
      </w:pPr>
      <w:r w:rsidRPr="005C067C">
        <w:rPr>
          <w:rStyle w:val="FootnoteReference"/>
        </w:rPr>
        <w:footnoteRef/>
      </w:r>
      <w:r w:rsidRPr="005C067C">
        <w:t xml:space="preserve"> Rochelle Cooper Dreyfuss, </w:t>
      </w:r>
      <w:r w:rsidRPr="005C067C">
        <w:rPr>
          <w:i/>
          <w:iCs/>
        </w:rPr>
        <w:t>Giving the Federal Circuit a Run for Its Money: Challenging Patents at the PTAB</w:t>
      </w:r>
      <w:r w:rsidRPr="005C067C">
        <w:t xml:space="preserve">, 91 </w:t>
      </w:r>
      <w:r w:rsidRPr="005C067C">
        <w:rPr>
          <w:smallCaps/>
        </w:rPr>
        <w:t>Notre Dame L. Rev.</w:t>
      </w:r>
      <w:r w:rsidRPr="005C067C">
        <w:t xml:space="preserve"> 236, 299. </w:t>
      </w:r>
    </w:p>
  </w:footnote>
  <w:footnote w:id="80">
    <w:p w14:paraId="06C2BF16" w14:textId="77777777" w:rsidR="0094162B" w:rsidRPr="005C067C" w:rsidRDefault="0094162B" w:rsidP="0094162B">
      <w:pPr>
        <w:pStyle w:val="FootnoteText"/>
        <w:ind w:firstLine="720"/>
      </w:pPr>
      <w:r w:rsidRPr="005C067C">
        <w:rPr>
          <w:rStyle w:val="FootnoteReference"/>
        </w:rPr>
        <w:footnoteRef/>
      </w:r>
      <w:r w:rsidRPr="005C067C">
        <w:t xml:space="preserve"> Brian J. Love, Shawn P. Miller, &amp; Shawn </w:t>
      </w:r>
      <w:proofErr w:type="spellStart"/>
      <w:r w:rsidRPr="005C067C">
        <w:t>Ambwani</w:t>
      </w:r>
      <w:proofErr w:type="spellEnd"/>
      <w:r w:rsidRPr="005C067C">
        <w:t xml:space="preserve">, </w:t>
      </w:r>
      <w:r w:rsidRPr="005C067C">
        <w:rPr>
          <w:i/>
          <w:iCs/>
        </w:rPr>
        <w:t>Determinants of Patent Quality: Evidence from Inter Partes Review Proceedings</w:t>
      </w:r>
      <w:r w:rsidRPr="005C067C">
        <w:t xml:space="preserve">, 90 </w:t>
      </w:r>
      <w:r w:rsidRPr="005C067C">
        <w:rPr>
          <w:smallCaps/>
        </w:rPr>
        <w:t>Colo. L. Rev</w:t>
      </w:r>
      <w:r w:rsidRPr="005C067C">
        <w:t>. 67 (2019).</w:t>
      </w:r>
    </w:p>
  </w:footnote>
  <w:footnote w:id="81">
    <w:p w14:paraId="78297340" w14:textId="77777777" w:rsidR="0094162B" w:rsidRPr="005C067C" w:rsidRDefault="0094162B" w:rsidP="0094162B">
      <w:pPr>
        <w:pStyle w:val="FootnoteText"/>
        <w:ind w:firstLine="720"/>
        <w:rPr>
          <w:i/>
          <w:iCs/>
        </w:rPr>
      </w:pPr>
      <w:r w:rsidRPr="005C067C">
        <w:rPr>
          <w:rStyle w:val="FootnoteReference"/>
        </w:rPr>
        <w:footnoteRef/>
      </w:r>
      <w:r w:rsidRPr="005C067C">
        <w:t xml:space="preserve"> </w:t>
      </w:r>
      <w:r w:rsidRPr="005C067C">
        <w:rPr>
          <w:i/>
          <w:iCs/>
        </w:rPr>
        <w:t>Id.</w:t>
      </w:r>
    </w:p>
  </w:footnote>
  <w:footnote w:id="82">
    <w:p w14:paraId="69374A4B" w14:textId="77777777" w:rsidR="0094162B" w:rsidRPr="005C067C" w:rsidRDefault="0094162B" w:rsidP="0094162B">
      <w:pPr>
        <w:pStyle w:val="FootnoteText"/>
        <w:ind w:firstLine="720"/>
        <w:rPr>
          <w:i/>
          <w:iCs/>
        </w:rPr>
      </w:pPr>
      <w:r w:rsidRPr="005C067C">
        <w:rPr>
          <w:rStyle w:val="FootnoteReference"/>
        </w:rPr>
        <w:footnoteRef/>
      </w:r>
      <w:r w:rsidRPr="005C067C">
        <w:t xml:space="preserve"> </w:t>
      </w:r>
      <w:r w:rsidRPr="005C067C">
        <w:rPr>
          <w:i/>
          <w:iCs/>
        </w:rPr>
        <w:t>Id.</w:t>
      </w:r>
    </w:p>
  </w:footnote>
  <w:footnote w:id="83">
    <w:p w14:paraId="092A1C9B" w14:textId="77777777" w:rsidR="0094162B" w:rsidRPr="005C067C" w:rsidRDefault="0094162B" w:rsidP="0094162B">
      <w:pPr>
        <w:pStyle w:val="FootnoteText"/>
        <w:ind w:firstLine="720"/>
      </w:pPr>
      <w:r w:rsidRPr="005C067C">
        <w:rPr>
          <w:rStyle w:val="FootnoteReference"/>
        </w:rPr>
        <w:footnoteRef/>
      </w:r>
      <w:r w:rsidRPr="005C067C">
        <w:t xml:space="preserve"> Brian Love &amp; Shawn </w:t>
      </w:r>
      <w:proofErr w:type="spellStart"/>
      <w:r w:rsidRPr="005C067C">
        <w:t>Awbwani</w:t>
      </w:r>
      <w:proofErr w:type="spellEnd"/>
      <w:r w:rsidRPr="005C067C">
        <w:t xml:space="preserve">, </w:t>
      </w:r>
      <w:r w:rsidRPr="005C067C">
        <w:rPr>
          <w:i/>
          <w:iCs/>
        </w:rPr>
        <w:t>Inter Partes Review: An Early Look at the Numbers</w:t>
      </w:r>
      <w:r w:rsidRPr="005C067C">
        <w:t xml:space="preserve">, 18 </w:t>
      </w:r>
      <w:r w:rsidRPr="005C067C">
        <w:rPr>
          <w:smallCaps/>
        </w:rPr>
        <w:t>U. Ch. L. Rev. Dialogue</w:t>
      </w:r>
      <w:r w:rsidRPr="005C067C">
        <w:t xml:space="preserve"> (2014).</w:t>
      </w:r>
    </w:p>
  </w:footnote>
  <w:footnote w:id="84">
    <w:p w14:paraId="2F98155D" w14:textId="77777777" w:rsidR="0094162B" w:rsidRPr="005C067C" w:rsidRDefault="0094162B" w:rsidP="0094162B">
      <w:pPr>
        <w:pStyle w:val="FootnoteText"/>
        <w:ind w:firstLine="720"/>
      </w:pPr>
      <w:r w:rsidRPr="005C067C">
        <w:rPr>
          <w:rStyle w:val="FootnoteReference"/>
        </w:rPr>
        <w:footnoteRef/>
      </w:r>
      <w:r w:rsidRPr="005C067C">
        <w:t xml:space="preserve"> Talia Bar &amp; Brendan Costello, </w:t>
      </w:r>
      <w:r w:rsidRPr="005C067C">
        <w:rPr>
          <w:i/>
          <w:iCs/>
        </w:rPr>
        <w:t>Predicting Administrative Patent Challenges</w:t>
      </w:r>
      <w:r w:rsidRPr="005C067C">
        <w:t xml:space="preserve">, </w:t>
      </w:r>
      <w:r w:rsidRPr="005C067C">
        <w:rPr>
          <w:smallCaps/>
        </w:rPr>
        <w:t>Minn. J. of Law, Science, &amp; Tech.</w:t>
      </w:r>
      <w:r w:rsidRPr="005C067C">
        <w:t xml:space="preserve"> (2019).</w:t>
      </w:r>
    </w:p>
  </w:footnote>
  <w:footnote w:id="85">
    <w:p w14:paraId="78786D52" w14:textId="77777777" w:rsidR="0094162B" w:rsidRPr="005C067C" w:rsidRDefault="0094162B" w:rsidP="0094162B">
      <w:pPr>
        <w:pStyle w:val="FootnoteText"/>
        <w:ind w:firstLine="720"/>
        <w:rPr>
          <w:i/>
          <w:iCs/>
        </w:rPr>
      </w:pPr>
      <w:r w:rsidRPr="005C067C">
        <w:rPr>
          <w:rStyle w:val="FootnoteReference"/>
        </w:rPr>
        <w:footnoteRef/>
      </w:r>
      <w:r w:rsidRPr="005C067C">
        <w:t xml:space="preserve"> </w:t>
      </w:r>
      <w:r w:rsidRPr="005C067C">
        <w:rPr>
          <w:i/>
          <w:iCs/>
        </w:rPr>
        <w:t>Id.</w:t>
      </w:r>
    </w:p>
  </w:footnote>
  <w:footnote w:id="86">
    <w:p w14:paraId="3F06C924" w14:textId="77777777" w:rsidR="0094162B" w:rsidRPr="005C067C" w:rsidRDefault="0094162B" w:rsidP="0094162B">
      <w:pPr>
        <w:pStyle w:val="FootnoteText"/>
        <w:ind w:firstLine="720"/>
        <w:rPr>
          <w:i/>
          <w:iCs/>
        </w:rPr>
      </w:pPr>
      <w:r w:rsidRPr="005C067C">
        <w:rPr>
          <w:rStyle w:val="FootnoteReference"/>
        </w:rPr>
        <w:footnoteRef/>
      </w:r>
      <w:r w:rsidRPr="005C067C">
        <w:t xml:space="preserve"> </w:t>
      </w:r>
      <w:r w:rsidRPr="005C067C">
        <w:rPr>
          <w:i/>
          <w:iCs/>
        </w:rPr>
        <w:t>Id.</w:t>
      </w:r>
    </w:p>
  </w:footnote>
  <w:footnote w:id="87">
    <w:p w14:paraId="025F4891" w14:textId="77777777" w:rsidR="0094162B" w:rsidRPr="005C067C" w:rsidRDefault="0094162B" w:rsidP="0094162B">
      <w:pPr>
        <w:pStyle w:val="FootnoteText"/>
        <w:ind w:firstLine="720"/>
        <w:rPr>
          <w:i/>
          <w:iCs/>
        </w:rPr>
      </w:pPr>
      <w:r w:rsidRPr="005C067C">
        <w:rPr>
          <w:rStyle w:val="FootnoteReference"/>
        </w:rPr>
        <w:footnoteRef/>
      </w:r>
      <w:r w:rsidRPr="005C067C">
        <w:t xml:space="preserve"> </w:t>
      </w:r>
      <w:r w:rsidRPr="005C067C">
        <w:rPr>
          <w:i/>
          <w:iCs/>
        </w:rPr>
        <w:t>Id.</w:t>
      </w:r>
    </w:p>
  </w:footnote>
  <w:footnote w:id="88">
    <w:p w14:paraId="1C6F9807" w14:textId="77777777" w:rsidR="0094162B" w:rsidRPr="005C067C" w:rsidRDefault="0094162B" w:rsidP="0094162B">
      <w:pPr>
        <w:pStyle w:val="FootnoteText"/>
        <w:ind w:firstLine="720"/>
        <w:rPr>
          <w:i/>
          <w:iCs/>
        </w:rPr>
      </w:pPr>
      <w:r w:rsidRPr="005C067C">
        <w:rPr>
          <w:rStyle w:val="FootnoteReference"/>
        </w:rPr>
        <w:footnoteRef/>
      </w:r>
      <w:r w:rsidRPr="005C067C">
        <w:t xml:space="preserve"> </w:t>
      </w:r>
      <w:r w:rsidRPr="005C067C">
        <w:rPr>
          <w:i/>
          <w:iCs/>
        </w:rPr>
        <w:t>Id.</w:t>
      </w:r>
    </w:p>
  </w:footnote>
  <w:footnote w:id="89">
    <w:p w14:paraId="0028049D" w14:textId="77777777" w:rsidR="0094162B" w:rsidRPr="005C067C" w:rsidRDefault="0094162B" w:rsidP="0094162B">
      <w:pPr>
        <w:pStyle w:val="FootnoteText"/>
        <w:ind w:firstLine="720"/>
      </w:pPr>
      <w:r w:rsidRPr="005C067C">
        <w:rPr>
          <w:rStyle w:val="FootnoteReference"/>
        </w:rPr>
        <w:footnoteRef/>
      </w:r>
      <w:r w:rsidRPr="005C067C">
        <w:t xml:space="preserve"> </w:t>
      </w:r>
      <w:r w:rsidRPr="005C067C">
        <w:rPr>
          <w:i/>
          <w:iCs/>
        </w:rPr>
        <w:t xml:space="preserve">Id. </w:t>
      </w:r>
      <w:r w:rsidRPr="005C067C">
        <w:t xml:space="preserve">at 6. </w:t>
      </w:r>
    </w:p>
  </w:footnote>
  <w:footnote w:id="90">
    <w:p w14:paraId="1A45AAC4" w14:textId="77777777" w:rsidR="0094162B" w:rsidRPr="005C067C" w:rsidRDefault="0094162B" w:rsidP="0094162B">
      <w:pPr>
        <w:pStyle w:val="FootnoteText"/>
        <w:ind w:firstLine="720"/>
        <w:rPr>
          <w:i/>
          <w:iCs/>
        </w:rPr>
      </w:pPr>
      <w:r w:rsidRPr="005C067C">
        <w:rPr>
          <w:rStyle w:val="FootnoteReference"/>
        </w:rPr>
        <w:footnoteRef/>
      </w:r>
      <w:r w:rsidRPr="005C067C">
        <w:t xml:space="preserve"> </w:t>
      </w:r>
      <w:r w:rsidRPr="005C067C">
        <w:rPr>
          <w:i/>
          <w:iCs/>
        </w:rPr>
        <w:t>Id.</w:t>
      </w:r>
    </w:p>
  </w:footnote>
  <w:footnote w:id="91">
    <w:p w14:paraId="7DB4EFBA" w14:textId="77777777" w:rsidR="0094162B" w:rsidRPr="005C067C" w:rsidRDefault="0094162B" w:rsidP="0094162B">
      <w:pPr>
        <w:pStyle w:val="FootnoteText"/>
        <w:ind w:firstLine="720"/>
      </w:pPr>
      <w:r w:rsidRPr="005C067C">
        <w:rPr>
          <w:rStyle w:val="FootnoteReference"/>
        </w:rPr>
        <w:footnoteRef/>
      </w:r>
      <w:r w:rsidRPr="005C067C">
        <w:t xml:space="preserve"> See Christian Helmers &amp; Brian Love, </w:t>
      </w:r>
      <w:r w:rsidRPr="005C067C">
        <w:rPr>
          <w:i/>
          <w:iCs/>
        </w:rPr>
        <w:t>The Effect of New Information on Patent Litigation: Evidence from U.S. Inter Partes Review</w:t>
      </w:r>
      <w:r w:rsidRPr="005C067C">
        <w:t xml:space="preserve"> (SSRN, dated Oct. 28, 2020), at 1. </w:t>
      </w:r>
    </w:p>
  </w:footnote>
  <w:footnote w:id="92">
    <w:p w14:paraId="215DA891" w14:textId="77777777" w:rsidR="0094162B" w:rsidRPr="005C067C" w:rsidRDefault="0094162B" w:rsidP="0094162B">
      <w:pPr>
        <w:pStyle w:val="FootnoteText"/>
        <w:ind w:firstLine="720"/>
      </w:pPr>
      <w:r w:rsidRPr="005C067C">
        <w:rPr>
          <w:rStyle w:val="FootnoteReference"/>
        </w:rPr>
        <w:footnoteRef/>
      </w:r>
      <w:r w:rsidRPr="005C067C">
        <w:t xml:space="preserve"> </w:t>
      </w:r>
      <w:r w:rsidRPr="005C067C">
        <w:rPr>
          <w:i/>
          <w:iCs/>
        </w:rPr>
        <w:t>Id.</w:t>
      </w:r>
    </w:p>
  </w:footnote>
  <w:footnote w:id="93">
    <w:p w14:paraId="2118813E" w14:textId="77777777" w:rsidR="0094162B" w:rsidRPr="005C067C" w:rsidRDefault="0094162B" w:rsidP="0094162B">
      <w:pPr>
        <w:pStyle w:val="FootnoteText"/>
        <w:ind w:firstLine="720"/>
      </w:pPr>
      <w:r w:rsidRPr="005C067C">
        <w:rPr>
          <w:rStyle w:val="FootnoteReference"/>
        </w:rPr>
        <w:footnoteRef/>
      </w:r>
      <w:r w:rsidRPr="005C067C">
        <w:t xml:space="preserve"> Indeed, they concluded that conditional on reaching the second stage, court cases are 23% more likely to settle once the 180-day window of a parallel petition is filed. </w:t>
      </w:r>
      <w:r w:rsidRPr="005C067C">
        <w:rPr>
          <w:i/>
          <w:iCs/>
        </w:rPr>
        <w:t>Id.</w:t>
      </w:r>
      <w:r w:rsidRPr="005C067C">
        <w:t xml:space="preserve"> at 18. </w:t>
      </w:r>
    </w:p>
  </w:footnote>
  <w:footnote w:id="94">
    <w:p w14:paraId="4422F4B3" w14:textId="77777777" w:rsidR="0094162B" w:rsidRPr="005C067C" w:rsidRDefault="0094162B" w:rsidP="0094162B">
      <w:pPr>
        <w:pStyle w:val="FootnoteText"/>
        <w:ind w:firstLine="720"/>
        <w:rPr>
          <w:i/>
          <w:iCs/>
        </w:rPr>
      </w:pPr>
      <w:r w:rsidRPr="005C067C">
        <w:rPr>
          <w:rStyle w:val="FootnoteReference"/>
        </w:rPr>
        <w:footnoteRef/>
      </w:r>
      <w:r w:rsidRPr="005C067C">
        <w:t xml:space="preserve"> </w:t>
      </w:r>
      <w:r w:rsidRPr="005C067C">
        <w:rPr>
          <w:i/>
          <w:iCs/>
        </w:rPr>
        <w:t xml:space="preserve">Id. </w:t>
      </w:r>
      <w:r w:rsidRPr="005C067C">
        <w:t xml:space="preserve">at 3. This period was compared to cases in which the accused infringer did not file a petition at the PTAB. </w:t>
      </w:r>
      <w:r w:rsidRPr="005C067C">
        <w:rPr>
          <w:i/>
          <w:iCs/>
        </w:rPr>
        <w:t>Id.</w:t>
      </w:r>
    </w:p>
  </w:footnote>
  <w:footnote w:id="95">
    <w:p w14:paraId="0C125451" w14:textId="77777777" w:rsidR="0094162B" w:rsidRPr="005C067C" w:rsidRDefault="0094162B" w:rsidP="0094162B">
      <w:pPr>
        <w:pStyle w:val="FootnoteText"/>
        <w:ind w:firstLine="720"/>
      </w:pPr>
      <w:r w:rsidRPr="005C067C">
        <w:rPr>
          <w:rStyle w:val="FootnoteReference"/>
        </w:rPr>
        <w:footnoteRef/>
      </w:r>
      <w:r w:rsidRPr="005C067C">
        <w:t xml:space="preserve"> </w:t>
      </w:r>
      <w:r w:rsidRPr="005C067C">
        <w:rPr>
          <w:i/>
          <w:iCs/>
        </w:rPr>
        <w:t>Id.</w:t>
      </w:r>
      <w:r w:rsidRPr="005C067C">
        <w:t xml:space="preserve"> at 3-4.</w:t>
      </w:r>
    </w:p>
  </w:footnote>
  <w:footnote w:id="96">
    <w:p w14:paraId="3639605F" w14:textId="77777777" w:rsidR="0094162B" w:rsidRPr="005C067C" w:rsidRDefault="0094162B" w:rsidP="0094162B">
      <w:pPr>
        <w:pStyle w:val="FootnoteText"/>
        <w:ind w:firstLine="720"/>
      </w:pPr>
      <w:r w:rsidRPr="005C067C">
        <w:rPr>
          <w:rStyle w:val="FootnoteReference"/>
        </w:rPr>
        <w:footnoteRef/>
      </w:r>
      <w:r w:rsidRPr="005C067C">
        <w:t xml:space="preserve"> </w:t>
      </w:r>
      <w:r w:rsidRPr="005C067C">
        <w:rPr>
          <w:i/>
          <w:iCs/>
        </w:rPr>
        <w:t>Id.</w:t>
      </w:r>
      <w:r w:rsidRPr="005C067C">
        <w:t xml:space="preserve"> at 4.</w:t>
      </w:r>
    </w:p>
  </w:footnote>
  <w:footnote w:id="97">
    <w:p w14:paraId="5232F826" w14:textId="77777777" w:rsidR="0094162B" w:rsidRPr="005C067C" w:rsidRDefault="0094162B" w:rsidP="0094162B">
      <w:pPr>
        <w:pStyle w:val="FootnoteText"/>
        <w:ind w:firstLine="720"/>
      </w:pPr>
      <w:r w:rsidRPr="005C067C">
        <w:rPr>
          <w:rStyle w:val="FootnoteReference"/>
        </w:rPr>
        <w:footnoteRef/>
      </w:r>
      <w:r w:rsidRPr="005C067C">
        <w:t xml:space="preserve"> </w:t>
      </w:r>
      <w:r w:rsidRPr="005C067C">
        <w:rPr>
          <w:i/>
          <w:iCs/>
        </w:rPr>
        <w:t>Id.</w:t>
      </w:r>
      <w:r w:rsidRPr="005C067C">
        <w:t xml:space="preserve"> </w:t>
      </w:r>
    </w:p>
  </w:footnote>
  <w:footnote w:id="98">
    <w:p w14:paraId="0866A944" w14:textId="77777777" w:rsidR="0094162B" w:rsidRPr="005C067C" w:rsidRDefault="0094162B" w:rsidP="0094162B">
      <w:pPr>
        <w:pStyle w:val="FootnoteText"/>
        <w:ind w:firstLine="720"/>
      </w:pPr>
      <w:r w:rsidRPr="005C067C">
        <w:rPr>
          <w:rStyle w:val="FootnoteReference"/>
        </w:rPr>
        <w:footnoteRef/>
      </w:r>
      <w:r w:rsidRPr="005C067C">
        <w:t xml:space="preserve"> </w:t>
      </w:r>
      <w:r w:rsidRPr="005C067C">
        <w:rPr>
          <w:i/>
          <w:iCs/>
        </w:rPr>
        <w:t>Id.</w:t>
      </w:r>
      <w:r w:rsidRPr="005C067C">
        <w:t xml:space="preserve"> at 5. </w:t>
      </w:r>
    </w:p>
  </w:footnote>
  <w:footnote w:id="99">
    <w:p w14:paraId="657858E9" w14:textId="77777777" w:rsidR="0094162B" w:rsidRPr="005C067C" w:rsidRDefault="0094162B" w:rsidP="0094162B">
      <w:pPr>
        <w:pStyle w:val="FootnoteText"/>
        <w:ind w:firstLine="720"/>
      </w:pPr>
      <w:r w:rsidRPr="005C067C">
        <w:rPr>
          <w:rStyle w:val="FootnoteReference"/>
        </w:rPr>
        <w:footnoteRef/>
      </w:r>
      <w:r w:rsidRPr="005C067C">
        <w:t xml:space="preserve"> </w:t>
      </w:r>
      <w:r w:rsidRPr="005C067C">
        <w:rPr>
          <w:i/>
          <w:iCs/>
        </w:rPr>
        <w:t>See, e.g.,</w:t>
      </w:r>
      <w:r w:rsidRPr="005C067C">
        <w:t xml:space="preserve"> Roger Shang &amp; </w:t>
      </w:r>
      <w:proofErr w:type="spellStart"/>
      <w:r w:rsidRPr="005C067C">
        <w:t>Yars</w:t>
      </w:r>
      <w:proofErr w:type="spellEnd"/>
      <w:r w:rsidRPr="005C067C">
        <w:t xml:space="preserve"> </w:t>
      </w:r>
      <w:proofErr w:type="spellStart"/>
      <w:r w:rsidRPr="005C067C">
        <w:t>Chaikovsky</w:t>
      </w:r>
      <w:proofErr w:type="spellEnd"/>
      <w:r w:rsidRPr="005C067C">
        <w:t xml:space="preserve">, </w:t>
      </w:r>
      <w:r w:rsidRPr="005C067C">
        <w:rPr>
          <w:i/>
          <w:iCs/>
        </w:rPr>
        <w:t>Inter Partes Reexamination of Patents: An Empirical Evaluation</w:t>
      </w:r>
      <w:r w:rsidRPr="005C067C">
        <w:t xml:space="preserve">, 15 </w:t>
      </w:r>
      <w:r w:rsidRPr="005C067C">
        <w:rPr>
          <w:smallCaps/>
        </w:rPr>
        <w:t xml:space="preserve">Tex. </w:t>
      </w:r>
      <w:proofErr w:type="spellStart"/>
      <w:r w:rsidRPr="005C067C">
        <w:rPr>
          <w:smallCaps/>
        </w:rPr>
        <w:t>Intell</w:t>
      </w:r>
      <w:proofErr w:type="spellEnd"/>
      <w:r w:rsidRPr="005C067C">
        <w:rPr>
          <w:smallCaps/>
        </w:rPr>
        <w:t>. Prop. L. J.</w:t>
      </w:r>
      <w:r w:rsidRPr="005C067C">
        <w:t xml:space="preserve"> (2006).</w:t>
      </w:r>
    </w:p>
  </w:footnote>
  <w:footnote w:id="100">
    <w:p w14:paraId="54F7E039" w14:textId="77777777" w:rsidR="0094162B" w:rsidRPr="005C067C" w:rsidRDefault="0094162B" w:rsidP="0094162B">
      <w:pPr>
        <w:pStyle w:val="FootnoteText"/>
        <w:ind w:firstLine="720"/>
      </w:pPr>
      <w:r w:rsidRPr="005C067C">
        <w:rPr>
          <w:rStyle w:val="FootnoteReference"/>
        </w:rPr>
        <w:footnoteRef/>
      </w:r>
      <w:r w:rsidRPr="005C067C">
        <w:t xml:space="preserve"> Love &amp; </w:t>
      </w:r>
      <w:proofErr w:type="spellStart"/>
      <w:r w:rsidRPr="005C067C">
        <w:t>Awbwani</w:t>
      </w:r>
      <w:proofErr w:type="spellEnd"/>
      <w:r w:rsidRPr="005C067C">
        <w:t xml:space="preserve">, </w:t>
      </w:r>
      <w:r w:rsidRPr="005C067C">
        <w:rPr>
          <w:i/>
          <w:iCs/>
        </w:rPr>
        <w:t xml:space="preserve">supra </w:t>
      </w:r>
      <w:r w:rsidRPr="005C067C">
        <w:t xml:space="preserve">note; Shang &amp; </w:t>
      </w:r>
      <w:proofErr w:type="spellStart"/>
      <w:r w:rsidRPr="005C067C">
        <w:t>Chaikovsky</w:t>
      </w:r>
      <w:proofErr w:type="spellEnd"/>
      <w:r w:rsidRPr="005C067C">
        <w:t xml:space="preserve">, </w:t>
      </w:r>
      <w:r w:rsidRPr="005C067C">
        <w:rPr>
          <w:i/>
          <w:iCs/>
        </w:rPr>
        <w:t xml:space="preserve">supra </w:t>
      </w:r>
      <w:r w:rsidRPr="005C067C">
        <w:t>note.</w:t>
      </w:r>
    </w:p>
  </w:footnote>
  <w:footnote w:id="101">
    <w:p w14:paraId="21848F2B" w14:textId="1CD79102" w:rsidR="00326AFA" w:rsidRDefault="00326AFA" w:rsidP="00DB7C55">
      <w:pPr>
        <w:pStyle w:val="FootnoteText"/>
        <w:ind w:firstLine="0"/>
        <w:rPr>
          <w:sz w:val="18"/>
          <w:szCs w:val="18"/>
        </w:rPr>
      </w:pPr>
      <w:r w:rsidRPr="008971D9">
        <w:rPr>
          <w:rStyle w:val="FootnoteReference"/>
          <w:sz w:val="18"/>
          <w:szCs w:val="18"/>
        </w:rPr>
        <w:footnoteRef/>
      </w:r>
      <w:r w:rsidRPr="008971D9">
        <w:rPr>
          <w:sz w:val="18"/>
          <w:szCs w:val="18"/>
        </w:rPr>
        <w:t xml:space="preserve"> Information concerning approximately 10 judges was either not available or I did not receive the CVs. Where information was not available, the demographic characteristics of the judges are imputed based on median values. </w:t>
      </w:r>
    </w:p>
    <w:p w14:paraId="14E2BC31" w14:textId="77777777" w:rsidR="00DB7C55" w:rsidRPr="008971D9" w:rsidRDefault="00DB7C55" w:rsidP="00DB7C55">
      <w:pPr>
        <w:pStyle w:val="FootnoteText"/>
        <w:ind w:firstLine="0"/>
        <w:rPr>
          <w:sz w:val="18"/>
          <w:szCs w:val="18"/>
        </w:rPr>
      </w:pPr>
    </w:p>
  </w:footnote>
  <w:footnote w:id="102">
    <w:p w14:paraId="278B4030" w14:textId="48194E5F" w:rsidR="00ED425B" w:rsidRDefault="00ED425B" w:rsidP="00DB7C55">
      <w:pPr>
        <w:pStyle w:val="FootnoteText"/>
        <w:ind w:firstLine="0"/>
        <w:rPr>
          <w:sz w:val="18"/>
          <w:szCs w:val="18"/>
        </w:rPr>
      </w:pPr>
      <w:r w:rsidRPr="008971D9">
        <w:rPr>
          <w:rStyle w:val="FootnoteReference"/>
          <w:sz w:val="18"/>
          <w:szCs w:val="18"/>
        </w:rPr>
        <w:footnoteRef/>
      </w:r>
      <w:r w:rsidRPr="008971D9">
        <w:rPr>
          <w:sz w:val="18"/>
          <w:szCs w:val="18"/>
        </w:rPr>
        <w:t xml:space="preserve"> </w:t>
      </w:r>
      <w:hyperlink r:id="rId2" w:history="1">
        <w:r w:rsidRPr="008971D9">
          <w:rPr>
            <w:rStyle w:val="Hyperlink"/>
            <w:sz w:val="18"/>
            <w:szCs w:val="18"/>
          </w:rPr>
          <w:t>https://developer.uspto.gov/ptab-api/swagger-ui.html</w:t>
        </w:r>
      </w:hyperlink>
      <w:r w:rsidRPr="008971D9">
        <w:rPr>
          <w:sz w:val="18"/>
          <w:szCs w:val="18"/>
        </w:rPr>
        <w:t xml:space="preserve">. The PTO database has data going back as far as July 1, 1997 to the present day. The particular analysis in this Article focuses only on data as of the PTAB’s founding, September 16, 2012. Future work on specialization at the PTAB as well as a comparison of procedures before and after the PTAB’s founding will look at the time period prior to 2012 to compare and contrast outcomes. </w:t>
      </w:r>
    </w:p>
    <w:p w14:paraId="0DE05CC5" w14:textId="77777777" w:rsidR="00AD1C68" w:rsidRPr="008971D9" w:rsidRDefault="00AD1C68" w:rsidP="00DB7C55">
      <w:pPr>
        <w:pStyle w:val="FootnoteText"/>
        <w:ind w:firstLine="0"/>
        <w:rPr>
          <w:sz w:val="18"/>
          <w:szCs w:val="18"/>
        </w:rPr>
      </w:pPr>
    </w:p>
  </w:footnote>
  <w:footnote w:id="103">
    <w:p w14:paraId="0498DCA0" w14:textId="53425710" w:rsidR="00636BD3" w:rsidRDefault="00636BD3" w:rsidP="00AD1C68">
      <w:pPr>
        <w:pStyle w:val="FootnoteText"/>
        <w:ind w:firstLine="0"/>
        <w:rPr>
          <w:sz w:val="18"/>
          <w:szCs w:val="18"/>
        </w:rPr>
      </w:pPr>
      <w:r w:rsidRPr="008971D9">
        <w:rPr>
          <w:rStyle w:val="FootnoteReference"/>
          <w:sz w:val="18"/>
          <w:szCs w:val="18"/>
        </w:rPr>
        <w:footnoteRef/>
      </w:r>
      <w:r w:rsidRPr="008971D9">
        <w:rPr>
          <w:sz w:val="18"/>
          <w:szCs w:val="18"/>
        </w:rPr>
        <w:t xml:space="preserve"> Future work will analyze more of the text of the opinions themselves. Analyzing PTAB decisions by text analysis is helped by the fact that PTAB decisions are fairly uniform in how opinions are structured; the agency’s decisions are structured such that information is placed in well-defined fields and includes some of the information such as the claims being asserted in boxes at the end of opinions, allowing for easy extraction. The clear and uniform method of the way that PTAB decisions look thus allows the researcher to use machine learning to extract information from the opinions quite easily. For example, information relating to the specific prior art challenged can be easily gathered since the PTAB often includes a physical chart in its decisions with such information that can be extracted to an Excel file using Able2Extract or Python.</w:t>
      </w:r>
    </w:p>
    <w:p w14:paraId="4A50D145" w14:textId="77777777" w:rsidR="00FF5B55" w:rsidRPr="008971D9" w:rsidRDefault="00FF5B55" w:rsidP="00AD1C68">
      <w:pPr>
        <w:pStyle w:val="FootnoteText"/>
        <w:ind w:firstLine="0"/>
        <w:rPr>
          <w:sz w:val="18"/>
          <w:szCs w:val="18"/>
        </w:rPr>
      </w:pPr>
    </w:p>
  </w:footnote>
  <w:footnote w:id="104">
    <w:p w14:paraId="242A3E64" w14:textId="7353A544" w:rsidR="00ED425B" w:rsidRDefault="00ED425B" w:rsidP="00AD1C68">
      <w:pPr>
        <w:pStyle w:val="FootnoteText"/>
        <w:ind w:firstLine="0"/>
        <w:rPr>
          <w:sz w:val="18"/>
          <w:szCs w:val="18"/>
        </w:rPr>
      </w:pPr>
      <w:r w:rsidRPr="008971D9">
        <w:rPr>
          <w:rStyle w:val="FootnoteReference"/>
          <w:sz w:val="18"/>
          <w:szCs w:val="18"/>
        </w:rPr>
        <w:footnoteRef/>
      </w:r>
      <w:r w:rsidRPr="008971D9">
        <w:rPr>
          <w:sz w:val="18"/>
          <w:szCs w:val="18"/>
        </w:rPr>
        <w:t xml:space="preserve"> Helmer &amp; Love, </w:t>
      </w:r>
      <w:r w:rsidRPr="008971D9">
        <w:rPr>
          <w:i/>
          <w:sz w:val="18"/>
          <w:szCs w:val="18"/>
        </w:rPr>
        <w:t>supra</w:t>
      </w:r>
      <w:r w:rsidRPr="008971D9">
        <w:rPr>
          <w:sz w:val="18"/>
          <w:szCs w:val="18"/>
        </w:rPr>
        <w:t xml:space="preserve"> note, at 10.</w:t>
      </w:r>
    </w:p>
    <w:p w14:paraId="6AF80847" w14:textId="77777777" w:rsidR="00AD1C68" w:rsidRPr="008971D9" w:rsidRDefault="00AD1C68" w:rsidP="00AD1C68">
      <w:pPr>
        <w:pStyle w:val="FootnoteText"/>
        <w:ind w:firstLine="0"/>
        <w:rPr>
          <w:sz w:val="18"/>
          <w:szCs w:val="18"/>
        </w:rPr>
      </w:pPr>
    </w:p>
  </w:footnote>
  <w:footnote w:id="105">
    <w:p w14:paraId="03A84AB6" w14:textId="6ED37A08" w:rsidR="00ED425B" w:rsidRDefault="00ED425B" w:rsidP="00AD1C68">
      <w:pPr>
        <w:pStyle w:val="FootnoteText"/>
        <w:ind w:firstLine="0"/>
        <w:rPr>
          <w:sz w:val="18"/>
          <w:szCs w:val="18"/>
        </w:rPr>
      </w:pPr>
      <w:r w:rsidRPr="008971D9">
        <w:rPr>
          <w:rStyle w:val="FootnoteReference"/>
          <w:sz w:val="18"/>
          <w:szCs w:val="18"/>
        </w:rPr>
        <w:footnoteRef/>
      </w:r>
      <w:r w:rsidRPr="008971D9">
        <w:rPr>
          <w:sz w:val="18"/>
          <w:szCs w:val="18"/>
        </w:rPr>
        <w:t xml:space="preserve"> </w:t>
      </w:r>
      <w:hyperlink r:id="rId3" w:history="1">
        <w:r w:rsidR="00AD1C68" w:rsidRPr="00886C30">
          <w:rPr>
            <w:rStyle w:val="Hyperlink"/>
            <w:sz w:val="18"/>
            <w:szCs w:val="18"/>
          </w:rPr>
          <w:t>https://npe.law.stanford.edu</w:t>
        </w:r>
      </w:hyperlink>
    </w:p>
    <w:p w14:paraId="05B8DD5F" w14:textId="77777777" w:rsidR="00AD1C68" w:rsidRPr="008971D9" w:rsidRDefault="00AD1C68" w:rsidP="00AD1C68">
      <w:pPr>
        <w:pStyle w:val="FootnoteText"/>
        <w:ind w:firstLine="0"/>
        <w:rPr>
          <w:sz w:val="18"/>
          <w:szCs w:val="18"/>
        </w:rPr>
      </w:pPr>
    </w:p>
  </w:footnote>
  <w:footnote w:id="106">
    <w:p w14:paraId="6A46ED6C" w14:textId="77777777" w:rsidR="00ED425B" w:rsidRPr="008971D9" w:rsidRDefault="00ED425B" w:rsidP="00AD1C68">
      <w:pPr>
        <w:pStyle w:val="FootnoteText"/>
        <w:ind w:firstLine="0"/>
        <w:rPr>
          <w:sz w:val="18"/>
          <w:szCs w:val="18"/>
        </w:rPr>
      </w:pPr>
      <w:r w:rsidRPr="008971D9">
        <w:rPr>
          <w:rStyle w:val="FootnoteReference"/>
          <w:sz w:val="18"/>
          <w:szCs w:val="18"/>
        </w:rPr>
        <w:footnoteRef/>
      </w:r>
      <w:r w:rsidRPr="008971D9">
        <w:rPr>
          <w:sz w:val="18"/>
          <w:szCs w:val="18"/>
        </w:rPr>
        <w:t xml:space="preserve"> Alternative specifications use the National Bureau of Economic Research (“NBER”) and the PatentsView website of technological grouping which divides technology of the patent into six groupings: chemical, electronic, computer, design, mechanical, and other. </w:t>
      </w:r>
    </w:p>
  </w:footnote>
  <w:footnote w:id="107">
    <w:p w14:paraId="6B74A131" w14:textId="783B409C" w:rsidR="00ED425B" w:rsidRDefault="00ED425B" w:rsidP="00AD1C68">
      <w:pPr>
        <w:pStyle w:val="FootnoteText"/>
        <w:ind w:firstLine="0"/>
        <w:rPr>
          <w:color w:val="000000" w:themeColor="text1"/>
          <w:sz w:val="18"/>
          <w:szCs w:val="18"/>
        </w:rPr>
      </w:pPr>
      <w:r w:rsidRPr="008971D9">
        <w:rPr>
          <w:rStyle w:val="FootnoteReference"/>
          <w:sz w:val="18"/>
          <w:szCs w:val="18"/>
        </w:rPr>
        <w:footnoteRef/>
      </w:r>
      <w:r w:rsidRPr="008971D9">
        <w:rPr>
          <w:sz w:val="18"/>
          <w:szCs w:val="18"/>
        </w:rPr>
        <w:t xml:space="preserve"> </w:t>
      </w:r>
      <w:hyperlink r:id="rId4" w:history="1">
        <w:r w:rsidR="00AD1C68" w:rsidRPr="00886C30">
          <w:rPr>
            <w:rStyle w:val="Hyperlink"/>
            <w:sz w:val="18"/>
            <w:szCs w:val="18"/>
          </w:rPr>
          <w:t>https://www.fjc.gov/research/idb</w:t>
        </w:r>
      </w:hyperlink>
    </w:p>
    <w:p w14:paraId="335052B8" w14:textId="77777777" w:rsidR="00AD1C68" w:rsidRPr="008971D9" w:rsidRDefault="00AD1C68" w:rsidP="00AD1C68">
      <w:pPr>
        <w:pStyle w:val="FootnoteText"/>
        <w:ind w:firstLine="0"/>
        <w:rPr>
          <w:color w:val="000000" w:themeColor="text1"/>
          <w:sz w:val="18"/>
          <w:szCs w:val="18"/>
        </w:rPr>
      </w:pPr>
    </w:p>
  </w:footnote>
  <w:footnote w:id="108">
    <w:p w14:paraId="7458D5D3" w14:textId="77777777" w:rsidR="00ED425B" w:rsidRPr="008971D9" w:rsidRDefault="00ED425B" w:rsidP="00AD1C68">
      <w:pPr>
        <w:ind w:firstLine="0"/>
        <w:jc w:val="left"/>
        <w:rPr>
          <w:rFonts w:cstheme="minorHAnsi"/>
          <w:color w:val="000000" w:themeColor="text1"/>
          <w:sz w:val="18"/>
          <w:szCs w:val="18"/>
        </w:rPr>
      </w:pPr>
      <w:r w:rsidRPr="008971D9">
        <w:rPr>
          <w:rStyle w:val="FootnoteReference"/>
          <w:color w:val="000000" w:themeColor="text1"/>
          <w:sz w:val="18"/>
          <w:szCs w:val="18"/>
        </w:rPr>
        <w:footnoteRef/>
      </w:r>
      <w:r w:rsidRPr="008971D9">
        <w:rPr>
          <w:color w:val="000000" w:themeColor="text1"/>
          <w:sz w:val="18"/>
          <w:szCs w:val="18"/>
        </w:rPr>
        <w:t xml:space="preserve"> </w:t>
      </w:r>
      <w:hyperlink r:id="rId5" w:history="1">
        <w:r w:rsidRPr="008971D9">
          <w:rPr>
            <w:rStyle w:val="Hyperlink"/>
            <w:rFonts w:cstheme="minorHAnsi"/>
            <w:color w:val="000000" w:themeColor="text1"/>
            <w:sz w:val="18"/>
            <w:szCs w:val="18"/>
            <w:u w:val="none"/>
          </w:rPr>
          <w:t>https://www.uspto.gov/learning-and-resources/electronic-data-products/patent-litigation-docket-reports-data</w:t>
        </w:r>
      </w:hyperlink>
      <w:r w:rsidRPr="008971D9">
        <w:rPr>
          <w:rFonts w:cstheme="minorHAnsi"/>
          <w:color w:val="000000" w:themeColor="text1"/>
          <w:sz w:val="18"/>
          <w:szCs w:val="18"/>
        </w:rPr>
        <w:t xml:space="preserve">; </w:t>
      </w:r>
      <w:r w:rsidRPr="008971D9">
        <w:rPr>
          <w:rFonts w:cstheme="minorHAnsi"/>
          <w:color w:val="000000" w:themeColor="text1"/>
          <w:sz w:val="18"/>
          <w:szCs w:val="18"/>
          <w:shd w:val="clear" w:color="auto" w:fill="FFFFFF"/>
        </w:rPr>
        <w:t xml:space="preserve">Schwartz, D., T. Sichelman, R. Miller (2019). “USPTO Patent Number and Case Code File Dataset Documentation.” USPTO Economic Working Paper No. 2019-05. </w:t>
      </w:r>
      <w:r w:rsidRPr="008971D9">
        <w:rPr>
          <w:rFonts w:cstheme="minorHAnsi"/>
          <w:i/>
          <w:iCs/>
          <w:color w:val="000000" w:themeColor="text1"/>
          <w:sz w:val="18"/>
          <w:szCs w:val="18"/>
          <w:shd w:val="clear" w:color="auto" w:fill="FFFFFF"/>
        </w:rPr>
        <w:t>available at</w:t>
      </w:r>
      <w:r w:rsidRPr="008971D9">
        <w:rPr>
          <w:rFonts w:cstheme="minorHAnsi"/>
          <w:color w:val="000000" w:themeColor="text1"/>
          <w:sz w:val="18"/>
          <w:szCs w:val="18"/>
          <w:shd w:val="clear" w:color="auto" w:fill="FFFFFF"/>
        </w:rPr>
        <w:t xml:space="preserve"> SSRN:</w:t>
      </w:r>
      <w:r w:rsidRPr="008971D9">
        <w:rPr>
          <w:rStyle w:val="apple-converted-space"/>
          <w:rFonts w:cstheme="minorHAnsi"/>
          <w:color w:val="000000" w:themeColor="text1"/>
          <w:sz w:val="18"/>
          <w:szCs w:val="18"/>
          <w:shd w:val="clear" w:color="auto" w:fill="FFFFFF"/>
        </w:rPr>
        <w:t> </w:t>
      </w:r>
      <w:hyperlink r:id="rId6" w:tgtFrame="_blank" w:history="1">
        <w:r w:rsidRPr="008971D9">
          <w:rPr>
            <w:rStyle w:val="Hyperlink"/>
            <w:rFonts w:cstheme="minorHAnsi"/>
            <w:color w:val="000000" w:themeColor="text1"/>
            <w:sz w:val="18"/>
            <w:szCs w:val="18"/>
            <w:u w:val="none"/>
            <w:bdr w:val="none" w:sz="0" w:space="0" w:color="auto" w:frame="1"/>
          </w:rPr>
          <w:t>https://papers.ssrn.com/sol3/papers.cfm?abstract_id=3507607</w:t>
        </w:r>
      </w:hyperlink>
      <w:r w:rsidRPr="008971D9">
        <w:rPr>
          <w:rFonts w:cstheme="minorHAnsi"/>
          <w:color w:val="000000" w:themeColor="text1"/>
          <w:sz w:val="18"/>
          <w:szCs w:val="18"/>
        </w:rPr>
        <w:t xml:space="preserve">; </w:t>
      </w:r>
      <w:r w:rsidRPr="008971D9">
        <w:rPr>
          <w:rFonts w:cstheme="minorHAnsi"/>
          <w:color w:val="000000" w:themeColor="text1"/>
          <w:sz w:val="18"/>
          <w:szCs w:val="18"/>
          <w:bdr w:val="none" w:sz="0" w:space="0" w:color="auto" w:frame="1"/>
        </w:rPr>
        <w:t>“Patent Litigation Data from US District Court Electronic Records (1963-2015).” USPTO Economic Working Paper No. 2017-06. Available at SSRN: </w:t>
      </w:r>
      <w:hyperlink r:id="rId7" w:tgtFrame="_blank" w:history="1">
        <w:r w:rsidRPr="008971D9">
          <w:rPr>
            <w:rStyle w:val="Hyperlink"/>
            <w:rFonts w:cstheme="minorHAnsi"/>
            <w:color w:val="000000" w:themeColor="text1"/>
            <w:sz w:val="18"/>
            <w:szCs w:val="18"/>
            <w:u w:val="none"/>
            <w:bdr w:val="none" w:sz="0" w:space="0" w:color="auto" w:frame="1"/>
          </w:rPr>
          <w:t>https://ssrn.com/abstract=2942295</w:t>
        </w:r>
      </w:hyperlink>
      <w:r w:rsidRPr="008971D9">
        <w:rPr>
          <w:rFonts w:cstheme="minorHAnsi"/>
          <w:color w:val="000000" w:themeColor="text1"/>
          <w:sz w:val="18"/>
          <w:szCs w:val="18"/>
        </w:rPr>
        <w:t>.</w:t>
      </w:r>
    </w:p>
    <w:p w14:paraId="0F0FF7C4" w14:textId="77777777" w:rsidR="00ED425B" w:rsidRPr="008971D9" w:rsidRDefault="00ED425B" w:rsidP="00ED425B">
      <w:pPr>
        <w:jc w:val="left"/>
        <w:rPr>
          <w:rFonts w:cstheme="minorHAnsi"/>
          <w:color w:val="000000" w:themeColor="text1"/>
          <w:sz w:val="18"/>
          <w:szCs w:val="18"/>
        </w:rPr>
      </w:pPr>
    </w:p>
    <w:p w14:paraId="72A0D445" w14:textId="77777777" w:rsidR="00ED425B" w:rsidRPr="008971D9" w:rsidRDefault="00ED425B" w:rsidP="00ED425B">
      <w:pPr>
        <w:pStyle w:val="FootnoteText"/>
        <w:rPr>
          <w:rFonts w:cstheme="minorHAnsi"/>
          <w:sz w:val="18"/>
          <w:szCs w:val="18"/>
        </w:rPr>
      </w:pPr>
    </w:p>
  </w:footnote>
  <w:footnote w:id="109">
    <w:p w14:paraId="2CC77140" w14:textId="7D574F74" w:rsidR="00651E64" w:rsidRDefault="00651E64" w:rsidP="00DB7C55">
      <w:pPr>
        <w:pStyle w:val="FootnoteText"/>
        <w:ind w:firstLine="0"/>
        <w:rPr>
          <w:sz w:val="18"/>
          <w:szCs w:val="18"/>
        </w:rPr>
      </w:pPr>
      <w:r w:rsidRPr="008971D9">
        <w:rPr>
          <w:rStyle w:val="FootnoteReference"/>
          <w:sz w:val="18"/>
          <w:szCs w:val="18"/>
        </w:rPr>
        <w:footnoteRef/>
      </w:r>
      <w:r w:rsidRPr="008971D9">
        <w:rPr>
          <w:sz w:val="18"/>
          <w:szCs w:val="18"/>
        </w:rPr>
        <w:t xml:space="preserve"> </w:t>
      </w:r>
      <w:r w:rsidRPr="00DB7C55">
        <w:rPr>
          <w:i/>
          <w:iCs/>
          <w:sz w:val="18"/>
          <w:szCs w:val="18"/>
        </w:rPr>
        <w:t>See, e.g</w:t>
      </w:r>
      <w:r w:rsidRPr="008971D9">
        <w:rPr>
          <w:sz w:val="18"/>
          <w:szCs w:val="18"/>
        </w:rPr>
        <w:t>., Kim &amp; Semet,</w:t>
      </w:r>
      <w:r w:rsidR="00DB7C55">
        <w:rPr>
          <w:sz w:val="18"/>
          <w:szCs w:val="18"/>
        </w:rPr>
        <w:t xml:space="preserve"> </w:t>
      </w:r>
      <w:r w:rsidR="00DB7C55" w:rsidRPr="00DB7C55">
        <w:rPr>
          <w:i/>
          <w:iCs/>
          <w:sz w:val="18"/>
          <w:szCs w:val="18"/>
        </w:rPr>
        <w:t>The President and Immigration Law,</w:t>
      </w:r>
      <w:r w:rsidR="00DB7C55">
        <w:rPr>
          <w:sz w:val="18"/>
          <w:szCs w:val="18"/>
        </w:rPr>
        <w:t xml:space="preserve"> </w:t>
      </w:r>
      <w:r w:rsidR="00DB7C55" w:rsidRPr="00DB7C55">
        <w:rPr>
          <w:smallCaps/>
          <w:sz w:val="18"/>
          <w:szCs w:val="18"/>
        </w:rPr>
        <w:t>Georgetown L. J.</w:t>
      </w:r>
      <w:r w:rsidRPr="008971D9">
        <w:rPr>
          <w:sz w:val="18"/>
          <w:szCs w:val="18"/>
        </w:rPr>
        <w:t xml:space="preserve"> (detailing the demographics of immigration judges); Semet (detailing the demographics of NLRB judges).</w:t>
      </w:r>
    </w:p>
    <w:p w14:paraId="198FFDF8" w14:textId="77777777" w:rsidR="00DB7C55" w:rsidRPr="008971D9" w:rsidRDefault="00DB7C55" w:rsidP="00DB7C55">
      <w:pPr>
        <w:pStyle w:val="FootnoteText"/>
        <w:ind w:firstLine="0"/>
        <w:rPr>
          <w:sz w:val="18"/>
          <w:szCs w:val="18"/>
        </w:rPr>
      </w:pPr>
    </w:p>
  </w:footnote>
  <w:footnote w:id="110">
    <w:p w14:paraId="0BA23712" w14:textId="77777777" w:rsidR="004A150C" w:rsidRPr="008971D9" w:rsidRDefault="004A150C" w:rsidP="004A150C">
      <w:pPr>
        <w:widowControl/>
        <w:autoSpaceDE w:val="0"/>
        <w:autoSpaceDN w:val="0"/>
        <w:adjustRightInd w:val="0"/>
        <w:ind w:firstLine="0"/>
        <w:jc w:val="left"/>
        <w:rPr>
          <w:rFonts w:ascii="Times New Roman" w:hAnsi="Times New Roman"/>
          <w:sz w:val="18"/>
          <w:szCs w:val="18"/>
          <w:lang w:eastAsia="ko-KR"/>
        </w:rPr>
      </w:pPr>
      <w:r w:rsidRPr="008971D9">
        <w:rPr>
          <w:rStyle w:val="FootnoteReference"/>
          <w:sz w:val="18"/>
          <w:szCs w:val="18"/>
        </w:rPr>
        <w:footnoteRef/>
      </w:r>
      <w:r w:rsidRPr="008971D9">
        <w:rPr>
          <w:sz w:val="18"/>
          <w:szCs w:val="18"/>
        </w:rPr>
        <w:t xml:space="preserve"> </w:t>
      </w:r>
      <w:r w:rsidRPr="008971D9">
        <w:rPr>
          <w:rFonts w:ascii="Times New Roman" w:hAnsi="Times New Roman"/>
          <w:sz w:val="18"/>
          <w:szCs w:val="18"/>
          <w:lang w:eastAsia="ko-KR"/>
        </w:rPr>
        <w:t>David Kappos, Re-Inventing the US Patent System, USPTO: DIRECTOR’S FORUM (Sept. 16,</w:t>
      </w:r>
    </w:p>
    <w:p w14:paraId="25B93406" w14:textId="68364BAA" w:rsidR="004A150C" w:rsidRDefault="004A150C" w:rsidP="00DB7C55">
      <w:pPr>
        <w:widowControl/>
        <w:autoSpaceDE w:val="0"/>
        <w:autoSpaceDN w:val="0"/>
        <w:adjustRightInd w:val="0"/>
        <w:ind w:firstLine="0"/>
        <w:jc w:val="left"/>
        <w:rPr>
          <w:rFonts w:ascii="Times New Roman" w:hAnsi="Times New Roman"/>
          <w:sz w:val="18"/>
          <w:szCs w:val="18"/>
          <w:lang w:eastAsia="ko-KR"/>
        </w:rPr>
      </w:pPr>
      <w:r w:rsidRPr="008971D9">
        <w:rPr>
          <w:rFonts w:ascii="Times New Roman" w:hAnsi="Times New Roman"/>
          <w:sz w:val="18"/>
          <w:szCs w:val="18"/>
          <w:lang w:eastAsia="ko-KR"/>
        </w:rPr>
        <w:t xml:space="preserve">2011), </w:t>
      </w:r>
      <w:hyperlink r:id="rId8" w:history="1">
        <w:r w:rsidR="00DB7C55" w:rsidRPr="00886C30">
          <w:rPr>
            <w:rStyle w:val="Hyperlink"/>
            <w:rFonts w:ascii="Times New Roman" w:hAnsi="Times New Roman"/>
            <w:sz w:val="18"/>
            <w:szCs w:val="18"/>
            <w:lang w:eastAsia="ko-KR"/>
          </w:rPr>
          <w:t>http://www.uspto.gov/blog/director/entry/re_inventing_the_us_patent</w:t>
        </w:r>
      </w:hyperlink>
      <w:r w:rsidR="00DB7C55">
        <w:rPr>
          <w:rFonts w:ascii="Times New Roman" w:hAnsi="Times New Roman"/>
          <w:sz w:val="18"/>
          <w:szCs w:val="18"/>
          <w:lang w:eastAsia="ko-KR"/>
        </w:rPr>
        <w:t>.</w:t>
      </w:r>
    </w:p>
    <w:p w14:paraId="10FB6C36" w14:textId="77777777" w:rsidR="00DB7C55" w:rsidRPr="00DB7C55" w:rsidRDefault="00DB7C55" w:rsidP="00DB7C55">
      <w:pPr>
        <w:widowControl/>
        <w:autoSpaceDE w:val="0"/>
        <w:autoSpaceDN w:val="0"/>
        <w:adjustRightInd w:val="0"/>
        <w:ind w:firstLine="0"/>
        <w:jc w:val="left"/>
        <w:rPr>
          <w:rFonts w:ascii="Times New Roman" w:hAnsi="Times New Roman"/>
          <w:sz w:val="18"/>
          <w:szCs w:val="18"/>
          <w:lang w:eastAsia="ko-KR"/>
        </w:rPr>
      </w:pPr>
    </w:p>
  </w:footnote>
  <w:footnote w:id="111">
    <w:p w14:paraId="1E9C6E07" w14:textId="25BC222C" w:rsidR="004A150C" w:rsidRPr="008971D9" w:rsidRDefault="004A150C" w:rsidP="004A150C">
      <w:pPr>
        <w:widowControl/>
        <w:autoSpaceDE w:val="0"/>
        <w:autoSpaceDN w:val="0"/>
        <w:adjustRightInd w:val="0"/>
        <w:ind w:firstLine="0"/>
        <w:jc w:val="left"/>
        <w:rPr>
          <w:rFonts w:ascii="Times New Roman" w:hAnsi="Times New Roman"/>
          <w:sz w:val="18"/>
          <w:szCs w:val="18"/>
          <w:lang w:eastAsia="ko-KR"/>
        </w:rPr>
      </w:pPr>
      <w:r w:rsidRPr="008971D9">
        <w:rPr>
          <w:rStyle w:val="FootnoteReference"/>
          <w:sz w:val="18"/>
          <w:szCs w:val="18"/>
        </w:rPr>
        <w:footnoteRef/>
      </w:r>
      <w:r w:rsidRPr="008971D9">
        <w:rPr>
          <w:sz w:val="18"/>
          <w:szCs w:val="18"/>
        </w:rPr>
        <w:t xml:space="preserve"> </w:t>
      </w:r>
      <w:r w:rsidR="00DB7C55">
        <w:rPr>
          <w:sz w:val="18"/>
          <w:szCs w:val="18"/>
        </w:rPr>
        <w:t xml:space="preserve">Walker &amp; Wasserman, </w:t>
      </w:r>
      <w:r w:rsidR="00DB7C55">
        <w:rPr>
          <w:i/>
          <w:iCs/>
          <w:sz w:val="18"/>
          <w:szCs w:val="18"/>
        </w:rPr>
        <w:t xml:space="preserve">supra </w:t>
      </w:r>
      <w:r w:rsidR="00DB7C55">
        <w:rPr>
          <w:sz w:val="18"/>
          <w:szCs w:val="18"/>
        </w:rPr>
        <w:t>note 1, at</w:t>
      </w:r>
      <w:r w:rsidRPr="008971D9">
        <w:rPr>
          <w:sz w:val="18"/>
          <w:szCs w:val="18"/>
        </w:rPr>
        <w:t xml:space="preserve"> 145. The rise in the number of cases at the PTAB had a downstream effect at the Federal Circuit as well, resulting in PTAB appeals overtaking appeals from the district court by 2016. </w:t>
      </w:r>
      <w:r w:rsidRPr="008971D9">
        <w:rPr>
          <w:rFonts w:ascii="Times New Roman" w:hAnsi="Times New Roman"/>
          <w:sz w:val="18"/>
          <w:szCs w:val="18"/>
          <w:lang w:eastAsia="ko-KR"/>
        </w:rPr>
        <w:t>Jason Rantanen, The Federal Circuit and Appeals from the Patent Office, PATENTLYO (Dec.</w:t>
      </w:r>
      <w:r w:rsidR="00A235FA">
        <w:rPr>
          <w:rFonts w:ascii="Times New Roman" w:hAnsi="Times New Roman"/>
          <w:sz w:val="18"/>
          <w:szCs w:val="18"/>
          <w:lang w:eastAsia="ko-KR"/>
        </w:rPr>
        <w:t xml:space="preserve"> </w:t>
      </w:r>
      <w:r w:rsidRPr="008971D9">
        <w:rPr>
          <w:rFonts w:ascii="Times New Roman" w:hAnsi="Times New Roman"/>
          <w:sz w:val="18"/>
          <w:szCs w:val="18"/>
          <w:lang w:eastAsia="ko-KR"/>
        </w:rPr>
        <w:t>4, 2016), https://patentlyo.com/patent/2016/12/federal-circuit-appeals.html</w:t>
      </w:r>
    </w:p>
  </w:footnote>
  <w:footnote w:id="112">
    <w:p w14:paraId="7235B903" w14:textId="77777777" w:rsidR="004A150C" w:rsidRPr="008971D9" w:rsidRDefault="004A150C" w:rsidP="00DB7C55">
      <w:pPr>
        <w:pStyle w:val="FootnoteText"/>
        <w:ind w:firstLine="0"/>
        <w:rPr>
          <w:sz w:val="18"/>
          <w:szCs w:val="18"/>
        </w:rPr>
      </w:pPr>
      <w:r w:rsidRPr="008971D9">
        <w:rPr>
          <w:rStyle w:val="FootnoteReference"/>
          <w:sz w:val="18"/>
          <w:szCs w:val="18"/>
        </w:rPr>
        <w:footnoteRef/>
      </w:r>
      <w:r w:rsidRPr="008971D9">
        <w:rPr>
          <w:sz w:val="18"/>
          <w:szCs w:val="18"/>
        </w:rPr>
        <w:t xml:space="preserve"> Location was based off the employee records available at </w:t>
      </w:r>
      <w:hyperlink r:id="rId9" w:history="1">
        <w:r w:rsidRPr="008971D9">
          <w:rPr>
            <w:rStyle w:val="Hyperlink"/>
            <w:sz w:val="18"/>
            <w:szCs w:val="18"/>
          </w:rPr>
          <w:t>www.federalpay.org</w:t>
        </w:r>
      </w:hyperlink>
      <w:r w:rsidRPr="008971D9">
        <w:rPr>
          <w:sz w:val="18"/>
          <w:szCs w:val="18"/>
        </w:rPr>
        <w:t xml:space="preserve">. “Other” locations other than a satellite office in Texas, Colorado or California, were grouped into Arlington in later analysis. </w:t>
      </w:r>
    </w:p>
  </w:footnote>
  <w:footnote w:id="113">
    <w:p w14:paraId="1EFC5281" w14:textId="77777777" w:rsidR="00ED425B" w:rsidRPr="008971D9" w:rsidRDefault="00ED425B" w:rsidP="005C11A0">
      <w:pPr>
        <w:pStyle w:val="FootnoteText"/>
        <w:ind w:firstLine="0"/>
        <w:rPr>
          <w:sz w:val="18"/>
          <w:szCs w:val="18"/>
        </w:rPr>
      </w:pPr>
      <w:r w:rsidRPr="008971D9">
        <w:rPr>
          <w:rStyle w:val="FootnoteReference"/>
          <w:sz w:val="18"/>
          <w:szCs w:val="18"/>
        </w:rPr>
        <w:footnoteRef/>
      </w:r>
      <w:r w:rsidRPr="008971D9">
        <w:rPr>
          <w:sz w:val="18"/>
          <w:szCs w:val="18"/>
        </w:rPr>
        <w:t xml:space="preserve"> At the merits stage, another 0.42% of cases are ones where the patent claims are amended. </w:t>
      </w:r>
    </w:p>
  </w:footnote>
  <w:footnote w:id="114">
    <w:p w14:paraId="50F5E705" w14:textId="77777777" w:rsidR="00ED425B" w:rsidRPr="008971D9" w:rsidRDefault="00ED425B" w:rsidP="005C11A0">
      <w:pPr>
        <w:pStyle w:val="FootnoteText"/>
        <w:ind w:firstLine="0"/>
        <w:rPr>
          <w:sz w:val="18"/>
          <w:szCs w:val="18"/>
        </w:rPr>
      </w:pPr>
      <w:r w:rsidRPr="008971D9">
        <w:rPr>
          <w:rStyle w:val="FootnoteReference"/>
          <w:sz w:val="18"/>
          <w:szCs w:val="18"/>
        </w:rPr>
        <w:footnoteRef/>
      </w:r>
      <w:r w:rsidRPr="008971D9">
        <w:rPr>
          <w:sz w:val="18"/>
          <w:szCs w:val="18"/>
        </w:rPr>
        <w:t xml:space="preserve"> The rest of the analysis focuses only on IPR proceedings unless otherwise noted. </w:t>
      </w:r>
    </w:p>
  </w:footnote>
  <w:footnote w:id="115">
    <w:p w14:paraId="04AC8196" w14:textId="77777777" w:rsidR="00ED425B" w:rsidRPr="008971D9" w:rsidRDefault="00ED425B" w:rsidP="00ED425B">
      <w:pPr>
        <w:pStyle w:val="FootnoteText"/>
        <w:rPr>
          <w:sz w:val="18"/>
          <w:szCs w:val="18"/>
        </w:rPr>
      </w:pPr>
      <w:r w:rsidRPr="008971D9">
        <w:rPr>
          <w:rStyle w:val="FootnoteReference"/>
          <w:sz w:val="18"/>
          <w:szCs w:val="18"/>
        </w:rPr>
        <w:footnoteRef/>
      </w:r>
      <w:r w:rsidRPr="008971D9">
        <w:rPr>
          <w:sz w:val="18"/>
          <w:szCs w:val="18"/>
        </w:rPr>
        <w:t xml:space="preserve"> Statistical significance means that the results are significant under 95% confidence using chi-squared tests.</w:t>
      </w:r>
    </w:p>
  </w:footnote>
  <w:footnote w:id="116">
    <w:p w14:paraId="68F41801" w14:textId="77777777" w:rsidR="00ED425B" w:rsidRPr="008971D9" w:rsidRDefault="00ED425B" w:rsidP="00ED425B">
      <w:pPr>
        <w:pStyle w:val="FootnoteText"/>
        <w:rPr>
          <w:sz w:val="18"/>
          <w:szCs w:val="18"/>
        </w:rPr>
      </w:pPr>
      <w:r w:rsidRPr="008971D9">
        <w:rPr>
          <w:rStyle w:val="FootnoteReference"/>
          <w:sz w:val="18"/>
          <w:szCs w:val="18"/>
        </w:rPr>
        <w:footnoteRef/>
      </w:r>
      <w:r w:rsidRPr="008971D9">
        <w:rPr>
          <w:sz w:val="18"/>
          <w:szCs w:val="18"/>
        </w:rPr>
        <w:t xml:space="preserve"> Such matches can at best be estimates. Physics majors were designated as “mechanical engineering,” nuclear engineers were designated as “chemical and materials engineering,” and civil engineers were denoted as “transportation, construction, and electronics.” ‘Systems” engineers were labeled as “communications.” If a judge had different sciences listed for masters/Ph.d and bachelors degrees, both were included. </w:t>
      </w:r>
    </w:p>
  </w:footnote>
  <w:footnote w:id="117">
    <w:p w14:paraId="0D37AE0A" w14:textId="27B6D5C5" w:rsidR="00651E64" w:rsidRPr="008971D9" w:rsidRDefault="00651E64" w:rsidP="005C11A0">
      <w:pPr>
        <w:pStyle w:val="FootnoteText"/>
        <w:ind w:firstLine="0"/>
        <w:rPr>
          <w:sz w:val="18"/>
          <w:szCs w:val="18"/>
        </w:rPr>
      </w:pPr>
      <w:r w:rsidRPr="008971D9">
        <w:rPr>
          <w:rStyle w:val="FootnoteReference"/>
          <w:sz w:val="18"/>
          <w:szCs w:val="18"/>
        </w:rPr>
        <w:footnoteRef/>
      </w:r>
      <w:r w:rsidRPr="008971D9">
        <w:rPr>
          <w:sz w:val="18"/>
          <w:szCs w:val="18"/>
        </w:rPr>
        <w:t xml:space="preserve"> Other regressions were done on only unique patents as well as only on the subset of cases where the panel changed to similar results. </w:t>
      </w:r>
    </w:p>
  </w:footnote>
  <w:footnote w:id="118">
    <w:p w14:paraId="06CB9D98" w14:textId="49032358" w:rsidR="003E08BA" w:rsidRPr="008971D9" w:rsidRDefault="003E08BA" w:rsidP="005E0A6E">
      <w:pPr>
        <w:pStyle w:val="NormalWeb"/>
        <w:rPr>
          <w:sz w:val="18"/>
          <w:szCs w:val="18"/>
        </w:rPr>
      </w:pPr>
      <w:r w:rsidRPr="008971D9">
        <w:rPr>
          <w:rStyle w:val="FootnoteReference"/>
          <w:sz w:val="18"/>
          <w:szCs w:val="18"/>
        </w:rPr>
        <w:footnoteRef/>
      </w:r>
      <w:r w:rsidRPr="008971D9">
        <w:rPr>
          <w:sz w:val="18"/>
          <w:szCs w:val="18"/>
        </w:rPr>
        <w:t xml:space="preserve"> </w:t>
      </w:r>
      <w:r w:rsidR="00297488" w:rsidRPr="005C11A0">
        <w:rPr>
          <w:i/>
          <w:iCs/>
          <w:sz w:val="18"/>
          <w:szCs w:val="18"/>
        </w:rPr>
        <w:t>S</w:t>
      </w:r>
      <w:r w:rsidRPr="005C11A0">
        <w:rPr>
          <w:i/>
          <w:iCs/>
          <w:sz w:val="18"/>
          <w:szCs w:val="18"/>
        </w:rPr>
        <w:t>ee</w:t>
      </w:r>
      <w:r w:rsidRPr="008971D9">
        <w:rPr>
          <w:i/>
          <w:iCs/>
          <w:sz w:val="18"/>
          <w:szCs w:val="18"/>
        </w:rPr>
        <w:t xml:space="preserve"> </w:t>
      </w:r>
      <w:r w:rsidRPr="008971D9">
        <w:rPr>
          <w:sz w:val="18"/>
          <w:szCs w:val="18"/>
        </w:rPr>
        <w:t xml:space="preserve">William Milliken, </w:t>
      </w:r>
      <w:r w:rsidRPr="008971D9">
        <w:rPr>
          <w:i/>
          <w:iCs/>
          <w:sz w:val="18"/>
          <w:szCs w:val="18"/>
        </w:rPr>
        <w:t>5 Practical Takeaways from High Court Arthrex Ruling</w:t>
      </w:r>
      <w:r w:rsidRPr="008971D9">
        <w:rPr>
          <w:sz w:val="18"/>
          <w:szCs w:val="18"/>
        </w:rPr>
        <w:t xml:space="preserve">, LAW360 (June 22, 2021, 5:56 PM), https://www.law360.com/articles/1396534/5-practical-takeaways-from-high-court-arthrex-ruling (discussing the implications of the </w:t>
      </w:r>
      <w:r w:rsidRPr="008971D9">
        <w:rPr>
          <w:i/>
          <w:iCs/>
          <w:sz w:val="18"/>
          <w:szCs w:val="18"/>
        </w:rPr>
        <w:t xml:space="preserve">Arthrex </w:t>
      </w:r>
      <w:r w:rsidRPr="008971D9">
        <w:rPr>
          <w:sz w:val="18"/>
          <w:szCs w:val="18"/>
        </w:rPr>
        <w:t xml:space="preserve">decision on PTAB decisions made under 35 U.S.C. § 318(a)). </w:t>
      </w:r>
    </w:p>
  </w:footnote>
  <w:footnote w:id="119">
    <w:p w14:paraId="21EB0C6E" w14:textId="3C7CCAD9" w:rsidR="00D21FCA" w:rsidRPr="008971D9" w:rsidRDefault="00D21FCA" w:rsidP="005E0A6E">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The Court expressly declined to extend its holding to include other PTAB proceedings, such as ex parte appeals, reexamination appeals, and interferences. </w:t>
      </w:r>
    </w:p>
  </w:footnote>
  <w:footnote w:id="120">
    <w:p w14:paraId="07C45F36" w14:textId="7FAA4128" w:rsidR="003F5D68" w:rsidRPr="008971D9" w:rsidRDefault="003F5D68" w:rsidP="005C11A0">
      <w:pPr>
        <w:pStyle w:val="FootnoteText"/>
        <w:ind w:firstLine="0"/>
        <w:rPr>
          <w:sz w:val="18"/>
          <w:szCs w:val="18"/>
        </w:rPr>
      </w:pPr>
      <w:r w:rsidRPr="008971D9">
        <w:rPr>
          <w:rStyle w:val="FootnoteReference"/>
          <w:sz w:val="18"/>
          <w:szCs w:val="18"/>
        </w:rPr>
        <w:footnoteRef/>
      </w:r>
      <w:r w:rsidRPr="008971D9">
        <w:rPr>
          <w:sz w:val="18"/>
          <w:szCs w:val="18"/>
        </w:rPr>
        <w:t xml:space="preserve"> The author’s studies of the NLRB and the immigration courts indicate the role that politics plays in administrative adjudication. </w:t>
      </w:r>
    </w:p>
  </w:footnote>
  <w:footnote w:id="121">
    <w:p w14:paraId="433893B4" w14:textId="048C32BF" w:rsidR="001322B7" w:rsidRPr="008971D9" w:rsidRDefault="001322B7" w:rsidP="00B755DE">
      <w:pPr>
        <w:pStyle w:val="NormalWeb"/>
        <w:rPr>
          <w:sz w:val="18"/>
          <w:szCs w:val="18"/>
        </w:rPr>
      </w:pPr>
      <w:r w:rsidRPr="008971D9">
        <w:rPr>
          <w:rStyle w:val="FootnoteReference"/>
          <w:sz w:val="18"/>
          <w:szCs w:val="18"/>
        </w:rPr>
        <w:footnoteRef/>
      </w:r>
      <w:r w:rsidRPr="008971D9">
        <w:rPr>
          <w:sz w:val="18"/>
          <w:szCs w:val="18"/>
        </w:rPr>
        <w:t xml:space="preserve"> For the historical background on the politics of the patent system, </w:t>
      </w:r>
      <w:r w:rsidRPr="005C11A0">
        <w:rPr>
          <w:i/>
          <w:iCs/>
          <w:sz w:val="18"/>
          <w:szCs w:val="18"/>
        </w:rPr>
        <w:t>see generally</w:t>
      </w:r>
      <w:r w:rsidRPr="008971D9">
        <w:rPr>
          <w:sz w:val="18"/>
          <w:szCs w:val="18"/>
        </w:rPr>
        <w:t xml:space="preserve"> Christopher Beauchamp, </w:t>
      </w:r>
      <w:r w:rsidRPr="008971D9">
        <w:rPr>
          <w:i/>
          <w:iCs/>
          <w:sz w:val="18"/>
          <w:szCs w:val="18"/>
        </w:rPr>
        <w:t>The First Patent Litigation Explosion</w:t>
      </w:r>
      <w:r w:rsidRPr="008971D9">
        <w:rPr>
          <w:sz w:val="18"/>
          <w:szCs w:val="18"/>
        </w:rPr>
        <w:t>, 125 YALE L.J. 848, 924–33 (2016)</w:t>
      </w:r>
      <w:r w:rsidR="006D71DB" w:rsidRPr="008971D9">
        <w:rPr>
          <w:sz w:val="18"/>
          <w:szCs w:val="18"/>
        </w:rPr>
        <w:t xml:space="preserve">; see also Sau, </w:t>
      </w:r>
      <w:r w:rsidR="006D71DB" w:rsidRPr="005C11A0">
        <w:rPr>
          <w:i/>
          <w:iCs/>
          <w:sz w:val="18"/>
          <w:szCs w:val="18"/>
        </w:rPr>
        <w:t xml:space="preserve">supra </w:t>
      </w:r>
      <w:r w:rsidR="006D71DB" w:rsidRPr="008971D9">
        <w:rPr>
          <w:sz w:val="18"/>
          <w:szCs w:val="18"/>
        </w:rPr>
        <w:t xml:space="preserve">note , at 1667 (noting that the patent system has “wielded its power mostly in disguise”). </w:t>
      </w:r>
    </w:p>
  </w:footnote>
  <w:footnote w:id="122">
    <w:p w14:paraId="4F33D006" w14:textId="20AB5724" w:rsidR="00333757" w:rsidRPr="008971D9" w:rsidRDefault="00333757" w:rsidP="005E0A6E">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Slip op. at 9-10 (Gorsuch, J., concurring in part and dissenting in part).</w:t>
      </w:r>
    </w:p>
  </w:footnote>
  <w:footnote w:id="123">
    <w:p w14:paraId="5640D9AF" w14:textId="44B0CA92" w:rsidR="00CD5C2F" w:rsidRPr="008971D9" w:rsidRDefault="00CD5C2F" w:rsidP="00700AF3">
      <w:pPr>
        <w:pStyle w:val="NormalWeb"/>
        <w:rPr>
          <w:sz w:val="18"/>
          <w:szCs w:val="18"/>
        </w:rPr>
      </w:pPr>
      <w:r w:rsidRPr="008971D9">
        <w:rPr>
          <w:rStyle w:val="FootnoteReference"/>
          <w:sz w:val="18"/>
          <w:szCs w:val="18"/>
        </w:rPr>
        <w:footnoteRef/>
      </w:r>
      <w:r w:rsidRPr="008971D9">
        <w:rPr>
          <w:sz w:val="18"/>
          <w:szCs w:val="18"/>
        </w:rPr>
        <w:t xml:space="preserve"> </w:t>
      </w:r>
      <w:r w:rsidRPr="008971D9">
        <w:rPr>
          <w:i/>
          <w:iCs/>
          <w:sz w:val="18"/>
          <w:szCs w:val="18"/>
        </w:rPr>
        <w:t xml:space="preserve">See id. </w:t>
      </w:r>
      <w:r w:rsidRPr="008971D9">
        <w:rPr>
          <w:sz w:val="18"/>
          <w:szCs w:val="18"/>
        </w:rPr>
        <w:t>(warning about the influence of “lobbyists” (quoting Oil States Energy Servs., LLC v. Greene’s Energy Grp., LLC, 138 S. Ct. 1365, 1381 (2018) (Gorsuch, J., dissenting)).</w:t>
      </w:r>
    </w:p>
  </w:footnote>
  <w:footnote w:id="124">
    <w:p w14:paraId="4A9F710C" w14:textId="186FB2A6" w:rsidR="00333757" w:rsidRPr="008971D9" w:rsidRDefault="00333757" w:rsidP="005E0A6E">
      <w:pPr>
        <w:pStyle w:val="NormalWeb"/>
        <w:rPr>
          <w:sz w:val="18"/>
          <w:szCs w:val="18"/>
        </w:rPr>
      </w:pPr>
      <w:r w:rsidRPr="008971D9">
        <w:rPr>
          <w:rStyle w:val="FootnoteReference"/>
          <w:sz w:val="18"/>
          <w:szCs w:val="18"/>
        </w:rPr>
        <w:footnoteRef/>
      </w:r>
      <w:r w:rsidRPr="008971D9">
        <w:rPr>
          <w:sz w:val="18"/>
          <w:szCs w:val="18"/>
        </w:rPr>
        <w:t xml:space="preserve"> S</w:t>
      </w:r>
      <w:r w:rsidRPr="008971D9">
        <w:rPr>
          <w:i/>
          <w:iCs/>
          <w:sz w:val="18"/>
          <w:szCs w:val="18"/>
        </w:rPr>
        <w:t>ee, e.g.</w:t>
      </w:r>
      <w:r w:rsidRPr="008971D9">
        <w:rPr>
          <w:sz w:val="18"/>
          <w:szCs w:val="18"/>
        </w:rPr>
        <w:t xml:space="preserve">, </w:t>
      </w:r>
      <w:r w:rsidRPr="008971D9">
        <w:rPr>
          <w:i/>
          <w:iCs/>
          <w:sz w:val="18"/>
          <w:szCs w:val="18"/>
        </w:rPr>
        <w:t>A Patent Waiver on COVID Vaccines Is Right and Fair</w:t>
      </w:r>
      <w:r w:rsidRPr="008971D9">
        <w:rPr>
          <w:sz w:val="18"/>
          <w:szCs w:val="18"/>
        </w:rPr>
        <w:t>, 593 NATURE 478 (May 25, 2021).</w:t>
      </w:r>
    </w:p>
  </w:footnote>
  <w:footnote w:id="125">
    <w:p w14:paraId="576B5EFF" w14:textId="64F8CF53" w:rsidR="00051578" w:rsidRPr="008971D9" w:rsidRDefault="00051578" w:rsidP="00A235FA">
      <w:pPr>
        <w:pStyle w:val="NormalWeb"/>
        <w:rPr>
          <w:sz w:val="18"/>
          <w:szCs w:val="18"/>
        </w:rPr>
      </w:pPr>
      <w:r w:rsidRPr="008971D9">
        <w:rPr>
          <w:rStyle w:val="FootnoteReference"/>
          <w:sz w:val="18"/>
          <w:szCs w:val="18"/>
        </w:rPr>
        <w:footnoteRef/>
      </w:r>
      <w:r w:rsidRPr="008971D9">
        <w:rPr>
          <w:sz w:val="18"/>
          <w:szCs w:val="18"/>
        </w:rPr>
        <w:t xml:space="preserve"> </w:t>
      </w:r>
      <w:r w:rsidRPr="008971D9">
        <w:rPr>
          <w:i/>
          <w:iCs/>
          <w:sz w:val="18"/>
          <w:szCs w:val="18"/>
        </w:rPr>
        <w:t xml:space="preserve">See </w:t>
      </w:r>
      <w:r w:rsidRPr="008971D9">
        <w:rPr>
          <w:sz w:val="18"/>
          <w:szCs w:val="18"/>
        </w:rPr>
        <w:t xml:space="preserve">John F. Duffy, </w:t>
      </w:r>
      <w:r w:rsidRPr="008971D9">
        <w:rPr>
          <w:i/>
          <w:iCs/>
          <w:sz w:val="18"/>
          <w:szCs w:val="18"/>
        </w:rPr>
        <w:t>Rules and Standards on the Forefront of Patentability</w:t>
      </w:r>
      <w:r w:rsidRPr="008971D9">
        <w:rPr>
          <w:sz w:val="18"/>
          <w:szCs w:val="18"/>
        </w:rPr>
        <w:t xml:space="preserve">, 51 WM. &amp; MARY L. REV. 609, 610 (2009) (“Patents convey property rights, and a substantial degree of certainty is usually thought to be helpful, or even essential to well functioning property rights.”); </w:t>
      </w:r>
      <w:r w:rsidRPr="008971D9">
        <w:rPr>
          <w:i/>
          <w:iCs/>
          <w:sz w:val="18"/>
          <w:szCs w:val="18"/>
        </w:rPr>
        <w:t xml:space="preserve">see also </w:t>
      </w:r>
      <w:r w:rsidRPr="008971D9">
        <w:rPr>
          <w:sz w:val="18"/>
          <w:szCs w:val="18"/>
        </w:rPr>
        <w:t xml:space="preserve">Alan C. Marco &amp; Saurabh Vishnubhakat, </w:t>
      </w:r>
      <w:r w:rsidRPr="008971D9">
        <w:rPr>
          <w:i/>
          <w:iCs/>
          <w:sz w:val="18"/>
          <w:szCs w:val="18"/>
        </w:rPr>
        <w:t>Certain Patents</w:t>
      </w:r>
      <w:r w:rsidRPr="008971D9">
        <w:rPr>
          <w:sz w:val="18"/>
          <w:szCs w:val="18"/>
        </w:rPr>
        <w:t xml:space="preserve">, 16 YALE J.L. &amp; TECH. 103, 106 (2013) (explaining that uncertainty disincentivizes patents). </w:t>
      </w:r>
    </w:p>
  </w:footnote>
  <w:footnote w:id="126">
    <w:p w14:paraId="372D5493" w14:textId="7133FB6F" w:rsidR="006D71DB" w:rsidRPr="008971D9" w:rsidRDefault="006D71DB" w:rsidP="005E0A6E">
      <w:pPr>
        <w:pStyle w:val="NormalWeb"/>
        <w:rPr>
          <w:sz w:val="18"/>
          <w:szCs w:val="18"/>
        </w:rPr>
      </w:pPr>
      <w:r w:rsidRPr="008971D9">
        <w:rPr>
          <w:rStyle w:val="FootnoteReference"/>
          <w:sz w:val="18"/>
          <w:szCs w:val="18"/>
        </w:rPr>
        <w:footnoteRef/>
      </w:r>
      <w:r w:rsidRPr="008971D9">
        <w:rPr>
          <w:sz w:val="18"/>
          <w:szCs w:val="18"/>
        </w:rPr>
        <w:t xml:space="preserve"> </w:t>
      </w:r>
      <w:r w:rsidRPr="008971D9">
        <w:rPr>
          <w:i/>
          <w:iCs/>
          <w:sz w:val="18"/>
          <w:szCs w:val="18"/>
        </w:rPr>
        <w:t xml:space="preserve">See </w:t>
      </w:r>
      <w:r w:rsidRPr="008971D9">
        <w:rPr>
          <w:sz w:val="18"/>
          <w:szCs w:val="18"/>
        </w:rPr>
        <w:t xml:space="preserve">Melissa F. Wasserman, </w:t>
      </w:r>
      <w:r w:rsidRPr="008971D9">
        <w:rPr>
          <w:i/>
          <w:iCs/>
          <w:sz w:val="18"/>
          <w:szCs w:val="18"/>
        </w:rPr>
        <w:t xml:space="preserve">The Changing Guard of Patent Law: </w:t>
      </w:r>
      <w:r w:rsidRPr="008971D9">
        <w:rPr>
          <w:sz w:val="18"/>
          <w:szCs w:val="18"/>
        </w:rPr>
        <w:t xml:space="preserve">Chevron </w:t>
      </w:r>
      <w:r w:rsidRPr="008971D9">
        <w:rPr>
          <w:i/>
          <w:iCs/>
          <w:sz w:val="18"/>
          <w:szCs w:val="18"/>
        </w:rPr>
        <w:t>Deference for the PTO</w:t>
      </w:r>
      <w:r w:rsidRPr="008971D9">
        <w:rPr>
          <w:sz w:val="18"/>
          <w:szCs w:val="18"/>
        </w:rPr>
        <w:t>, 54 WM. &amp; MARY L. REV. 1959, 1962–63 (2013)</w:t>
      </w:r>
      <w:r w:rsidR="00A235FA">
        <w:rPr>
          <w:sz w:val="18"/>
          <w:szCs w:val="18"/>
        </w:rPr>
        <w:t>.</w:t>
      </w:r>
    </w:p>
  </w:footnote>
  <w:footnote w:id="127">
    <w:p w14:paraId="24F8213F" w14:textId="25FF6310" w:rsidR="006D71DB" w:rsidRPr="008971D9" w:rsidRDefault="006D71DB" w:rsidP="005E0A6E">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35 U.S.C. 314(d) (nonappealability of inter partes review); id. 324€ (nonappealability of post-grant review).</w:t>
      </w:r>
    </w:p>
  </w:footnote>
  <w:footnote w:id="128">
    <w:p w14:paraId="7BA22EDD" w14:textId="0DB76813" w:rsidR="00617C74" w:rsidRPr="008971D9" w:rsidRDefault="00617C74" w:rsidP="00351642">
      <w:pPr>
        <w:pStyle w:val="NormalWeb"/>
        <w:rPr>
          <w:sz w:val="18"/>
          <w:szCs w:val="18"/>
        </w:rPr>
      </w:pPr>
      <w:r w:rsidRPr="008971D9">
        <w:rPr>
          <w:rStyle w:val="FootnoteReference"/>
          <w:sz w:val="18"/>
          <w:szCs w:val="18"/>
        </w:rPr>
        <w:footnoteRef/>
      </w:r>
      <w:r w:rsidRPr="008971D9">
        <w:rPr>
          <w:sz w:val="18"/>
          <w:szCs w:val="18"/>
        </w:rPr>
        <w:t xml:space="preserve"> </w:t>
      </w:r>
      <w:r w:rsidRPr="008971D9">
        <w:rPr>
          <w:i/>
          <w:iCs/>
          <w:sz w:val="18"/>
          <w:szCs w:val="18"/>
        </w:rPr>
        <w:t xml:space="preserve">See </w:t>
      </w:r>
      <w:r w:rsidRPr="008971D9">
        <w:rPr>
          <w:sz w:val="18"/>
          <w:szCs w:val="18"/>
        </w:rPr>
        <w:t xml:space="preserve">John F. Duffy, </w:t>
      </w:r>
      <w:r w:rsidRPr="008971D9">
        <w:rPr>
          <w:i/>
          <w:iCs/>
          <w:sz w:val="18"/>
          <w:szCs w:val="18"/>
        </w:rPr>
        <w:t>Rules and Standards on the Forefront of Patentability</w:t>
      </w:r>
      <w:r w:rsidRPr="008971D9">
        <w:rPr>
          <w:sz w:val="18"/>
          <w:szCs w:val="18"/>
        </w:rPr>
        <w:t xml:space="preserve">, 51 WM. &amp; MARY L. REV. 609, 610 (2009) (“Patents convey property rights, and a substantial degree of certainty is usually thought to be helpful, or even essential to well functioning property rights.”); </w:t>
      </w:r>
      <w:r w:rsidRPr="008971D9">
        <w:rPr>
          <w:i/>
          <w:iCs/>
          <w:sz w:val="18"/>
          <w:szCs w:val="18"/>
        </w:rPr>
        <w:t xml:space="preserve">see also </w:t>
      </w:r>
      <w:r w:rsidRPr="008971D9">
        <w:rPr>
          <w:sz w:val="18"/>
          <w:szCs w:val="18"/>
        </w:rPr>
        <w:t xml:space="preserve">Alan C. Marco &amp; Saurabh Vishnubhakat, </w:t>
      </w:r>
      <w:r w:rsidRPr="008971D9">
        <w:rPr>
          <w:i/>
          <w:iCs/>
          <w:sz w:val="18"/>
          <w:szCs w:val="18"/>
        </w:rPr>
        <w:t>Certain Patents</w:t>
      </w:r>
      <w:r w:rsidRPr="008971D9">
        <w:rPr>
          <w:sz w:val="18"/>
          <w:szCs w:val="18"/>
        </w:rPr>
        <w:t xml:space="preserve">, 16 YALE J.L. &amp; TECH. 103, 106 (2013) (explaining that uncertainty disincentivizes patents). </w:t>
      </w:r>
    </w:p>
  </w:footnote>
  <w:footnote w:id="129">
    <w:p w14:paraId="7E05ECAD" w14:textId="62A80DBC" w:rsidR="00250A74" w:rsidRPr="008971D9" w:rsidRDefault="00250A74" w:rsidP="005E0A6E">
      <w:pPr>
        <w:pStyle w:val="NormalWeb"/>
        <w:rPr>
          <w:sz w:val="18"/>
          <w:szCs w:val="18"/>
        </w:rPr>
      </w:pPr>
      <w:r w:rsidRPr="008971D9">
        <w:rPr>
          <w:rStyle w:val="FootnoteReference"/>
          <w:sz w:val="18"/>
          <w:szCs w:val="18"/>
        </w:rPr>
        <w:footnoteRef/>
      </w:r>
      <w:r w:rsidRPr="008971D9">
        <w:rPr>
          <w:sz w:val="18"/>
          <w:szCs w:val="18"/>
        </w:rPr>
        <w:t xml:space="preserve">15 U.S.C. § 45 (2012). </w:t>
      </w:r>
    </w:p>
  </w:footnote>
  <w:footnote w:id="130">
    <w:p w14:paraId="71603E26" w14:textId="6423D863" w:rsidR="00250A74" w:rsidRPr="008971D9" w:rsidRDefault="00250A74" w:rsidP="005E0A6E">
      <w:pPr>
        <w:pStyle w:val="NormalWeb"/>
        <w:rPr>
          <w:sz w:val="18"/>
          <w:szCs w:val="18"/>
        </w:rPr>
      </w:pPr>
      <w:r w:rsidRPr="008971D9">
        <w:rPr>
          <w:rStyle w:val="FootnoteReference"/>
          <w:sz w:val="18"/>
          <w:szCs w:val="18"/>
        </w:rPr>
        <w:footnoteRef/>
      </w:r>
      <w:r w:rsidRPr="008971D9">
        <w:rPr>
          <w:sz w:val="18"/>
          <w:szCs w:val="18"/>
        </w:rPr>
        <w:t xml:space="preserve"> 47 U.S.C. § 151 (2012). </w:t>
      </w:r>
    </w:p>
  </w:footnote>
  <w:footnote w:id="131">
    <w:p w14:paraId="3927346E" w14:textId="4ED0DB82" w:rsidR="00250A74" w:rsidRPr="008971D9" w:rsidRDefault="00250A74" w:rsidP="005E0A6E">
      <w:pPr>
        <w:pStyle w:val="NormalWeb"/>
        <w:rPr>
          <w:sz w:val="18"/>
          <w:szCs w:val="18"/>
        </w:rPr>
      </w:pPr>
      <w:r w:rsidRPr="008971D9">
        <w:rPr>
          <w:rStyle w:val="FootnoteReference"/>
          <w:sz w:val="18"/>
          <w:szCs w:val="18"/>
        </w:rPr>
        <w:footnoteRef/>
      </w:r>
      <w:r w:rsidRPr="008971D9">
        <w:rPr>
          <w:sz w:val="18"/>
          <w:szCs w:val="18"/>
        </w:rPr>
        <w:t xml:space="preserve"> 19 U.S.C. § 1330 (2012).</w:t>
      </w:r>
    </w:p>
  </w:footnote>
  <w:footnote w:id="132">
    <w:p w14:paraId="5F601B04" w14:textId="00B3B4AC" w:rsidR="00250A74" w:rsidRPr="008971D9" w:rsidRDefault="00250A74" w:rsidP="005E0A6E">
      <w:pPr>
        <w:pStyle w:val="NormalWeb"/>
        <w:rPr>
          <w:sz w:val="18"/>
          <w:szCs w:val="18"/>
        </w:rPr>
      </w:pPr>
      <w:r w:rsidRPr="008971D9">
        <w:rPr>
          <w:rStyle w:val="FootnoteReference"/>
          <w:sz w:val="18"/>
          <w:szCs w:val="18"/>
        </w:rPr>
        <w:footnoteRef/>
      </w:r>
      <w:r w:rsidRPr="008971D9">
        <w:rPr>
          <w:sz w:val="18"/>
          <w:szCs w:val="18"/>
        </w:rPr>
        <w:t xml:space="preserve"> 15 U.S.C. § 78d (2012). </w:t>
      </w:r>
    </w:p>
  </w:footnote>
  <w:footnote w:id="133">
    <w:p w14:paraId="1748C220" w14:textId="7E736E94" w:rsidR="00DB18C2" w:rsidRPr="008971D9" w:rsidRDefault="00DB18C2" w:rsidP="005E0A6E">
      <w:pPr>
        <w:pStyle w:val="NormalWeb"/>
        <w:rPr>
          <w:sz w:val="18"/>
          <w:szCs w:val="18"/>
        </w:rPr>
      </w:pPr>
      <w:r w:rsidRPr="008971D9">
        <w:rPr>
          <w:rStyle w:val="FootnoteReference"/>
          <w:sz w:val="18"/>
          <w:szCs w:val="18"/>
        </w:rPr>
        <w:footnoteRef/>
      </w:r>
      <w:r w:rsidRPr="008971D9">
        <w:rPr>
          <w:sz w:val="18"/>
          <w:szCs w:val="18"/>
        </w:rPr>
        <w:t xml:space="preserve"> </w:t>
      </w:r>
      <w:r w:rsidR="005E0A6E" w:rsidRPr="008971D9">
        <w:rPr>
          <w:sz w:val="18"/>
          <w:szCs w:val="18"/>
        </w:rPr>
        <w:t xml:space="preserve">OFFICE OF PERSONNEL MGMT., ADMINISTRATIVE LAW JUDGES, https://www.opm.gov/services-for-agencies/administrative-law-judges/#url=ALJs-by-Agency </w:t>
      </w:r>
    </w:p>
  </w:footnote>
  <w:footnote w:id="134">
    <w:p w14:paraId="342300B4" w14:textId="2D662AE6" w:rsidR="00400FD5" w:rsidRPr="008971D9" w:rsidRDefault="00400FD5" w:rsidP="005E0A6E">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5 U.S.C. 5372 (2012).</w:t>
      </w:r>
    </w:p>
    <w:p w14:paraId="438896D7" w14:textId="77777777" w:rsidR="005E0A6E" w:rsidRPr="008971D9" w:rsidRDefault="005E0A6E" w:rsidP="005E0A6E">
      <w:pPr>
        <w:pStyle w:val="FootnoteText"/>
        <w:ind w:firstLine="0"/>
        <w:rPr>
          <w:rFonts w:ascii="Times New Roman" w:hAnsi="Times New Roman"/>
          <w:sz w:val="18"/>
          <w:szCs w:val="18"/>
        </w:rPr>
      </w:pPr>
    </w:p>
  </w:footnote>
  <w:footnote w:id="135">
    <w:p w14:paraId="481898E2" w14:textId="292DCC73" w:rsidR="00400FD5" w:rsidRPr="008971D9" w:rsidRDefault="00400FD5" w:rsidP="004A24EE">
      <w:pPr>
        <w:widowControl/>
        <w:autoSpaceDE w:val="0"/>
        <w:autoSpaceDN w:val="0"/>
        <w:adjustRightInd w:val="0"/>
        <w:ind w:firstLine="0"/>
        <w:jc w:val="left"/>
        <w:rPr>
          <w:rFonts w:ascii="Times New Roman" w:hAnsi="Times New Roman"/>
          <w:sz w:val="18"/>
          <w:szCs w:val="18"/>
          <w:lang w:eastAsia="ko-KR"/>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Pr="008971D9">
        <w:rPr>
          <w:rFonts w:ascii="Times New Roman" w:hAnsi="Times New Roman"/>
          <w:i/>
          <w:iCs/>
          <w:sz w:val="18"/>
          <w:szCs w:val="18"/>
        </w:rPr>
        <w:t>Id.</w:t>
      </w:r>
      <w:r w:rsidRPr="008971D9">
        <w:rPr>
          <w:rFonts w:ascii="Times New Roman" w:hAnsi="Times New Roman"/>
          <w:sz w:val="18"/>
          <w:szCs w:val="18"/>
        </w:rPr>
        <w:t xml:space="preserve"> </w:t>
      </w:r>
      <w:r w:rsidR="00351642" w:rsidRPr="008971D9">
        <w:rPr>
          <w:rFonts w:ascii="Times New Roman" w:hAnsi="Times New Roman"/>
          <w:sz w:val="18"/>
          <w:szCs w:val="18"/>
        </w:rPr>
        <w:t>a</w:t>
      </w:r>
      <w:r w:rsidRPr="008971D9">
        <w:rPr>
          <w:rFonts w:ascii="Times New Roman" w:hAnsi="Times New Roman"/>
          <w:sz w:val="18"/>
          <w:szCs w:val="18"/>
        </w:rPr>
        <w:t>t 7521(a).</w:t>
      </w:r>
      <w:r w:rsidR="00CA1C06" w:rsidRPr="008971D9">
        <w:rPr>
          <w:rFonts w:ascii="Times New Roman" w:hAnsi="Times New Roman"/>
          <w:sz w:val="18"/>
          <w:szCs w:val="18"/>
        </w:rPr>
        <w:t xml:space="preserve"> </w:t>
      </w:r>
    </w:p>
    <w:p w14:paraId="72E3DF24" w14:textId="77777777" w:rsidR="005E0A6E" w:rsidRPr="008971D9" w:rsidRDefault="005E0A6E" w:rsidP="005E0A6E">
      <w:pPr>
        <w:pStyle w:val="FootnoteText"/>
        <w:ind w:firstLine="0"/>
        <w:rPr>
          <w:rFonts w:ascii="Times New Roman" w:hAnsi="Times New Roman"/>
          <w:sz w:val="18"/>
          <w:szCs w:val="18"/>
        </w:rPr>
      </w:pPr>
    </w:p>
  </w:footnote>
  <w:footnote w:id="136">
    <w:p w14:paraId="5458E7D2" w14:textId="1AB191A9" w:rsidR="003F4965" w:rsidRPr="004A24EE" w:rsidRDefault="003F4965" w:rsidP="004A24EE">
      <w:pPr>
        <w:widowControl/>
        <w:autoSpaceDE w:val="0"/>
        <w:autoSpaceDN w:val="0"/>
        <w:adjustRightInd w:val="0"/>
        <w:ind w:firstLine="0"/>
        <w:jc w:val="left"/>
        <w:rPr>
          <w:rFonts w:ascii="Times New Roman" w:hAnsi="Times New Roman"/>
          <w:sz w:val="18"/>
          <w:szCs w:val="18"/>
          <w:lang w:eastAsia="ko-KR"/>
        </w:rPr>
      </w:pPr>
      <w:r w:rsidRPr="008971D9">
        <w:rPr>
          <w:rStyle w:val="FootnoteReference"/>
          <w:rFonts w:ascii="Times New Roman" w:hAnsi="Times New Roman"/>
          <w:sz w:val="18"/>
          <w:szCs w:val="18"/>
        </w:rPr>
        <w:footnoteRef/>
      </w:r>
      <w:r w:rsidRPr="008971D9">
        <w:rPr>
          <w:rFonts w:ascii="Times New Roman" w:hAnsi="Times New Roman"/>
          <w:i/>
          <w:iCs/>
          <w:sz w:val="18"/>
          <w:szCs w:val="18"/>
        </w:rPr>
        <w:t xml:space="preserve"> </w:t>
      </w:r>
      <w:r w:rsidR="00E44C79" w:rsidRPr="004A24EE">
        <w:rPr>
          <w:rFonts w:ascii="Times New Roman" w:hAnsi="Times New Roman"/>
          <w:i/>
          <w:iCs/>
          <w:sz w:val="18"/>
          <w:szCs w:val="18"/>
          <w:lang w:eastAsia="ko-KR"/>
        </w:rPr>
        <w:t>But see</w:t>
      </w:r>
      <w:r w:rsidR="00E44C79" w:rsidRPr="008971D9">
        <w:rPr>
          <w:rFonts w:ascii="Times New Roman" w:hAnsi="Times New Roman"/>
          <w:sz w:val="18"/>
          <w:szCs w:val="18"/>
          <w:lang w:eastAsia="ko-KR"/>
        </w:rPr>
        <w:t xml:space="preserve"> Exec. Order 13,843,83 Fed. Reg. 32,755 (July 13, 2018) (directing, in light of Lucia v. SEC, 138 S. Ct. 2044 (2018), that</w:t>
      </w:r>
      <w:r w:rsidR="004A24EE">
        <w:rPr>
          <w:rFonts w:ascii="Times New Roman" w:hAnsi="Times New Roman"/>
          <w:sz w:val="18"/>
          <w:szCs w:val="18"/>
          <w:lang w:eastAsia="ko-KR"/>
        </w:rPr>
        <w:t xml:space="preserve"> </w:t>
      </w:r>
      <w:r w:rsidR="00E44C79" w:rsidRPr="008971D9">
        <w:rPr>
          <w:rFonts w:ascii="Times New Roman" w:hAnsi="Times New Roman"/>
          <w:sz w:val="18"/>
          <w:szCs w:val="18"/>
          <w:lang w:eastAsia="ko-KR"/>
        </w:rPr>
        <w:t>ALJs be exempted from the competitive hiring rules and examinations set forth by OPM and that federal</w:t>
      </w:r>
      <w:r w:rsidR="004A24EE">
        <w:rPr>
          <w:rFonts w:ascii="Times New Roman" w:hAnsi="Times New Roman"/>
          <w:sz w:val="18"/>
          <w:szCs w:val="18"/>
          <w:lang w:eastAsia="ko-KR"/>
        </w:rPr>
        <w:t xml:space="preserve"> </w:t>
      </w:r>
      <w:r w:rsidR="00E44C79" w:rsidRPr="008971D9">
        <w:rPr>
          <w:rFonts w:ascii="Times New Roman" w:hAnsi="Times New Roman"/>
          <w:sz w:val="18"/>
          <w:szCs w:val="18"/>
          <w:lang w:eastAsia="ko-KR"/>
        </w:rPr>
        <w:t>agencies establish their own processes for hiring ALJs).</w:t>
      </w:r>
    </w:p>
  </w:footnote>
  <w:footnote w:id="137">
    <w:p w14:paraId="3A21D0BB" w14:textId="7B2BA696" w:rsidR="00A511B9" w:rsidRPr="008971D9" w:rsidRDefault="00A511B9" w:rsidP="005E0A6E">
      <w:pPr>
        <w:pStyle w:val="NormalWeb"/>
        <w:rPr>
          <w:sz w:val="18"/>
          <w:szCs w:val="18"/>
        </w:rPr>
      </w:pPr>
      <w:r w:rsidRPr="008971D9">
        <w:rPr>
          <w:rStyle w:val="FootnoteReference"/>
          <w:sz w:val="18"/>
          <w:szCs w:val="18"/>
        </w:rPr>
        <w:footnoteRef/>
      </w:r>
      <w:r w:rsidRPr="008971D9">
        <w:rPr>
          <w:sz w:val="18"/>
          <w:szCs w:val="18"/>
        </w:rPr>
        <w:t xml:space="preserve"> </w:t>
      </w:r>
      <w:r w:rsidR="00351642" w:rsidRPr="008971D9">
        <w:rPr>
          <w:i/>
          <w:iCs/>
          <w:sz w:val="18"/>
          <w:szCs w:val="18"/>
        </w:rPr>
        <w:t>S</w:t>
      </w:r>
      <w:r w:rsidRPr="008971D9">
        <w:rPr>
          <w:i/>
          <w:iCs/>
          <w:sz w:val="18"/>
          <w:szCs w:val="18"/>
        </w:rPr>
        <w:t xml:space="preserve">ee generally </w:t>
      </w:r>
      <w:r w:rsidRPr="008971D9">
        <w:rPr>
          <w:sz w:val="18"/>
          <w:szCs w:val="18"/>
        </w:rPr>
        <w:t xml:space="preserve">Harold H. Bruff, </w:t>
      </w:r>
      <w:r w:rsidRPr="008971D9">
        <w:rPr>
          <w:i/>
          <w:iCs/>
          <w:sz w:val="18"/>
          <w:szCs w:val="18"/>
        </w:rPr>
        <w:t>Specialized Courts in Administrative Law</w:t>
      </w:r>
      <w:r w:rsidRPr="008971D9">
        <w:rPr>
          <w:sz w:val="18"/>
          <w:szCs w:val="18"/>
        </w:rPr>
        <w:t xml:space="preserve">, 43 ADMIN. L. REV. 329, 346 (1991); Jeffrey S. Lubbers, </w:t>
      </w:r>
      <w:r w:rsidRPr="008971D9">
        <w:rPr>
          <w:i/>
          <w:iCs/>
          <w:sz w:val="18"/>
          <w:szCs w:val="18"/>
        </w:rPr>
        <w:t>Federal Administrative Law Judges: A Focus on our Invisible Judiciary</w:t>
      </w:r>
      <w:r w:rsidRPr="008971D9">
        <w:rPr>
          <w:sz w:val="18"/>
          <w:szCs w:val="18"/>
        </w:rPr>
        <w:t xml:space="preserve">, 33 ADMIN. L. REV. 109, 112– 20 (1981); Paul R. Verkuil, </w:t>
      </w:r>
      <w:r w:rsidRPr="008971D9">
        <w:rPr>
          <w:i/>
          <w:iCs/>
          <w:sz w:val="18"/>
          <w:szCs w:val="18"/>
        </w:rPr>
        <w:t>Reflections Upon the Federal Administrative Judiciary</w:t>
      </w:r>
      <w:r w:rsidRPr="008971D9">
        <w:rPr>
          <w:sz w:val="18"/>
          <w:szCs w:val="18"/>
        </w:rPr>
        <w:t xml:space="preserve">, 39 UCLA L. REV. 1341, 1344 (1992). </w:t>
      </w:r>
    </w:p>
  </w:footnote>
  <w:footnote w:id="138">
    <w:p w14:paraId="274ECDC0" w14:textId="7E28FA46" w:rsidR="003F4965" w:rsidRPr="008971D9" w:rsidRDefault="003F4965" w:rsidP="005E0A6E">
      <w:pPr>
        <w:pStyle w:val="NormalWeb"/>
        <w:rPr>
          <w:sz w:val="18"/>
          <w:szCs w:val="18"/>
        </w:rPr>
      </w:pPr>
      <w:r w:rsidRPr="008971D9">
        <w:rPr>
          <w:rStyle w:val="FootnoteReference"/>
          <w:sz w:val="18"/>
          <w:szCs w:val="18"/>
        </w:rPr>
        <w:footnoteRef/>
      </w:r>
      <w:r w:rsidRPr="008971D9">
        <w:rPr>
          <w:sz w:val="18"/>
          <w:szCs w:val="18"/>
        </w:rPr>
        <w:t xml:space="preserve"> U.S. PATENT &amp; TRADEMARK OFFICE, PTAB BROCHURE, https://www.uspto.gov/sites/default/files/documents/ptab_brochure_v2_4_10_14.pdf </w:t>
      </w:r>
    </w:p>
  </w:footnote>
  <w:footnote w:id="139">
    <w:p w14:paraId="77B567EE" w14:textId="77777777" w:rsidR="003F4965" w:rsidRPr="008971D9" w:rsidRDefault="003F4965" w:rsidP="003F4965">
      <w:pPr>
        <w:pStyle w:val="NormalWeb"/>
        <w:rPr>
          <w:sz w:val="18"/>
          <w:szCs w:val="18"/>
        </w:rPr>
      </w:pPr>
      <w:r w:rsidRPr="008971D9">
        <w:rPr>
          <w:rStyle w:val="FootnoteReference"/>
          <w:sz w:val="18"/>
          <w:szCs w:val="18"/>
        </w:rPr>
        <w:footnoteRef/>
      </w:r>
      <w:r w:rsidRPr="008971D9">
        <w:rPr>
          <w:sz w:val="18"/>
          <w:szCs w:val="18"/>
        </w:rPr>
        <w:t xml:space="preserve"> Jennifer R. Bush, </w:t>
      </w:r>
      <w:r w:rsidRPr="008971D9">
        <w:rPr>
          <w:i/>
          <w:iCs/>
          <w:sz w:val="18"/>
          <w:szCs w:val="18"/>
        </w:rPr>
        <w:t>Administrative Patent Judges: Not Your Typical Federal Judge</w:t>
      </w:r>
      <w:r w:rsidRPr="008971D9">
        <w:rPr>
          <w:sz w:val="18"/>
          <w:szCs w:val="18"/>
        </w:rPr>
        <w:t xml:space="preserve">, DAILY J. (July 10, 2014). </w:t>
      </w:r>
    </w:p>
    <w:p w14:paraId="21224D62" w14:textId="05610A6E" w:rsidR="003F4965" w:rsidRPr="008971D9" w:rsidRDefault="003F4965">
      <w:pPr>
        <w:pStyle w:val="FootnoteText"/>
        <w:rPr>
          <w:rFonts w:ascii="Times New Roman" w:hAnsi="Times New Roman"/>
          <w:sz w:val="18"/>
          <w:szCs w:val="18"/>
        </w:rPr>
      </w:pPr>
    </w:p>
  </w:footnote>
  <w:footnote w:id="140">
    <w:p w14:paraId="0973BDBB" w14:textId="378B5D5B" w:rsidR="00346988" w:rsidRPr="008971D9" w:rsidRDefault="00346988" w:rsidP="003D37CC">
      <w:pPr>
        <w:pStyle w:val="FootnoteText"/>
        <w:ind w:firstLine="0"/>
        <w:rPr>
          <w:sz w:val="18"/>
          <w:szCs w:val="18"/>
        </w:rPr>
      </w:pPr>
      <w:r w:rsidRPr="008971D9">
        <w:rPr>
          <w:rStyle w:val="FootnoteReference"/>
          <w:sz w:val="18"/>
          <w:szCs w:val="18"/>
        </w:rPr>
        <w:footnoteRef/>
      </w:r>
      <w:r w:rsidRPr="008971D9">
        <w:rPr>
          <w:sz w:val="18"/>
          <w:szCs w:val="18"/>
        </w:rPr>
        <w:t xml:space="preserve"> Kim &amp; Semet, </w:t>
      </w:r>
      <w:r w:rsidRPr="003D37CC">
        <w:rPr>
          <w:i/>
          <w:iCs/>
          <w:sz w:val="18"/>
          <w:szCs w:val="18"/>
        </w:rPr>
        <w:t xml:space="preserve">supra </w:t>
      </w:r>
      <w:r w:rsidRPr="008971D9">
        <w:rPr>
          <w:sz w:val="18"/>
          <w:szCs w:val="18"/>
        </w:rPr>
        <w:t xml:space="preserve">note, at __. </w:t>
      </w:r>
      <w:r w:rsidR="00C21C27">
        <w:rPr>
          <w:sz w:val="18"/>
          <w:szCs w:val="18"/>
        </w:rPr>
        <w:t>This study</w:t>
      </w:r>
      <w:r w:rsidRPr="008971D9">
        <w:rPr>
          <w:sz w:val="18"/>
          <w:szCs w:val="18"/>
        </w:rPr>
        <w:t xml:space="preserve"> found that prior government employment was not statistically significant in influencing the decision to remove a noncitizen. </w:t>
      </w:r>
    </w:p>
  </w:footnote>
  <w:footnote w:id="141">
    <w:p w14:paraId="1E33D1F1" w14:textId="05165AF3" w:rsidR="00E73103" w:rsidRPr="008971D9" w:rsidRDefault="00E73103" w:rsidP="005E0A6E">
      <w:pPr>
        <w:pStyle w:val="NormalWeb"/>
        <w:rPr>
          <w:sz w:val="18"/>
          <w:szCs w:val="18"/>
        </w:rPr>
      </w:pPr>
      <w:r w:rsidRPr="008971D9">
        <w:rPr>
          <w:rStyle w:val="FootnoteReference"/>
          <w:sz w:val="18"/>
          <w:szCs w:val="18"/>
        </w:rPr>
        <w:footnoteRef/>
      </w:r>
      <w:r w:rsidRPr="008971D9">
        <w:rPr>
          <w:sz w:val="18"/>
          <w:szCs w:val="18"/>
        </w:rPr>
        <w:t xml:space="preserve"> 5 C.F.R. § 930.206 (2018) (OPM Regulation). </w:t>
      </w:r>
    </w:p>
  </w:footnote>
  <w:footnote w:id="142">
    <w:p w14:paraId="1C2A568F" w14:textId="0E9EC963" w:rsidR="007C51A1" w:rsidRPr="008971D9" w:rsidRDefault="007C51A1" w:rsidP="005E0A6E">
      <w:pPr>
        <w:pStyle w:val="NormalWeb"/>
        <w:rPr>
          <w:sz w:val="18"/>
          <w:szCs w:val="18"/>
        </w:rPr>
      </w:pPr>
      <w:r w:rsidRPr="008971D9">
        <w:rPr>
          <w:rStyle w:val="FootnoteReference"/>
          <w:sz w:val="18"/>
          <w:szCs w:val="18"/>
        </w:rPr>
        <w:footnoteRef/>
      </w:r>
      <w:r w:rsidRPr="008971D9">
        <w:rPr>
          <w:sz w:val="18"/>
          <w:szCs w:val="18"/>
        </w:rPr>
        <w:t xml:space="preserve"> 35 U.S.C. § 3(b)(6) (2012)</w:t>
      </w:r>
      <w:r w:rsidR="003D37CC">
        <w:rPr>
          <w:sz w:val="18"/>
          <w:szCs w:val="18"/>
        </w:rPr>
        <w:t>.</w:t>
      </w:r>
    </w:p>
  </w:footnote>
  <w:footnote w:id="143">
    <w:p w14:paraId="45DD2681" w14:textId="500F28FA" w:rsidR="00085D0B" w:rsidRPr="008971D9" w:rsidRDefault="00085D0B" w:rsidP="005E0A6E">
      <w:pPr>
        <w:pStyle w:val="NormalWeb"/>
        <w:rPr>
          <w:sz w:val="18"/>
          <w:szCs w:val="18"/>
        </w:rPr>
      </w:pPr>
      <w:r w:rsidRPr="008971D9">
        <w:rPr>
          <w:rStyle w:val="FootnoteReference"/>
          <w:sz w:val="18"/>
          <w:szCs w:val="18"/>
        </w:rPr>
        <w:footnoteRef/>
      </w:r>
      <w:r w:rsidRPr="008971D9">
        <w:rPr>
          <w:sz w:val="18"/>
          <w:szCs w:val="18"/>
        </w:rPr>
        <w:t xml:space="preserve"> U.S. PATENT &amp; TRADEMARK OFFICE, PTAB BROCHURE, https://www.uspto.gov/sites/default/files/documents/ptab_brochure_v2_4_10_14.pdf </w:t>
      </w:r>
    </w:p>
  </w:footnote>
  <w:footnote w:id="144">
    <w:p w14:paraId="4BE8143C" w14:textId="0D6C6EC9" w:rsidR="001C051A" w:rsidRPr="008971D9" w:rsidRDefault="001C051A" w:rsidP="005E0A6E">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Katznelson</w:t>
      </w:r>
      <w:r w:rsidR="00351642" w:rsidRPr="008971D9">
        <w:rPr>
          <w:rFonts w:ascii="Times New Roman" w:hAnsi="Times New Roman"/>
          <w:sz w:val="18"/>
          <w:szCs w:val="18"/>
        </w:rPr>
        <w:t xml:space="preserve">, </w:t>
      </w:r>
      <w:r w:rsidR="00351642" w:rsidRPr="003D37CC">
        <w:rPr>
          <w:rFonts w:ascii="Times New Roman" w:hAnsi="Times New Roman"/>
          <w:i/>
          <w:iCs/>
          <w:sz w:val="18"/>
          <w:szCs w:val="18"/>
        </w:rPr>
        <w:t>supra</w:t>
      </w:r>
      <w:r w:rsidR="00351642" w:rsidRPr="008971D9">
        <w:rPr>
          <w:rFonts w:ascii="Times New Roman" w:hAnsi="Times New Roman"/>
          <w:sz w:val="18"/>
          <w:szCs w:val="18"/>
        </w:rPr>
        <w:t xml:space="preserve"> note, at 2. </w:t>
      </w:r>
    </w:p>
  </w:footnote>
  <w:footnote w:id="145">
    <w:p w14:paraId="58DB3BA5" w14:textId="77777777" w:rsidR="005E0A6E" w:rsidRPr="008971D9" w:rsidRDefault="005E0A6E">
      <w:pPr>
        <w:pStyle w:val="FootnoteText"/>
        <w:rPr>
          <w:rFonts w:ascii="Times New Roman" w:hAnsi="Times New Roman"/>
          <w:sz w:val="18"/>
          <w:szCs w:val="18"/>
        </w:rPr>
      </w:pPr>
    </w:p>
    <w:p w14:paraId="405178C7" w14:textId="550891FD" w:rsidR="001C051A" w:rsidRDefault="001C051A" w:rsidP="005E0A6E">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For example, the Katznelson study relies only on 2016 bonuses to make its conclusions. Further, it makes conclusions based on a statistical significance value below 90%, something that is virtually unheard of in empirical analysis, where statistical significance is determined by 95% confidence</w:t>
      </w:r>
      <w:r w:rsidR="003D37CC">
        <w:rPr>
          <w:rFonts w:ascii="Times New Roman" w:hAnsi="Times New Roman"/>
          <w:sz w:val="18"/>
          <w:szCs w:val="18"/>
        </w:rPr>
        <w:t>.</w:t>
      </w:r>
    </w:p>
    <w:p w14:paraId="44D57D1D" w14:textId="77777777" w:rsidR="003D37CC" w:rsidRPr="008971D9" w:rsidRDefault="003D37CC" w:rsidP="005E0A6E">
      <w:pPr>
        <w:pStyle w:val="FootnoteText"/>
        <w:ind w:firstLine="0"/>
        <w:rPr>
          <w:rFonts w:ascii="Times New Roman" w:hAnsi="Times New Roman"/>
          <w:sz w:val="18"/>
          <w:szCs w:val="18"/>
        </w:rPr>
      </w:pPr>
    </w:p>
  </w:footnote>
  <w:footnote w:id="146">
    <w:p w14:paraId="0542A935" w14:textId="7C21A29D" w:rsidR="007229EB" w:rsidRPr="008971D9" w:rsidRDefault="007229EB" w:rsidP="003D37CC">
      <w:pPr>
        <w:pStyle w:val="FootnoteText"/>
        <w:ind w:firstLine="0"/>
        <w:rPr>
          <w:sz w:val="18"/>
          <w:szCs w:val="18"/>
        </w:rPr>
      </w:pPr>
      <w:r w:rsidRPr="008971D9">
        <w:rPr>
          <w:rStyle w:val="FootnoteReference"/>
          <w:sz w:val="18"/>
          <w:szCs w:val="18"/>
        </w:rPr>
        <w:footnoteRef/>
      </w:r>
      <w:r w:rsidRPr="008971D9">
        <w:rPr>
          <w:sz w:val="18"/>
          <w:szCs w:val="18"/>
        </w:rPr>
        <w:t xml:space="preserve"> The author has put out a request for more information about the bonuses through filing a Freedom of Information Act request with the PTAB, with the agency saying that it expects to respond to the request in March 2022, given the “complexity” of the request.</w:t>
      </w:r>
    </w:p>
  </w:footnote>
  <w:footnote w:id="147">
    <w:p w14:paraId="7E6F69A0" w14:textId="1D418F16" w:rsidR="009B44FB" w:rsidRPr="008971D9" w:rsidRDefault="009B44FB" w:rsidP="003D37CC">
      <w:pPr>
        <w:pStyle w:val="NormalWeb"/>
        <w:rPr>
          <w:sz w:val="18"/>
          <w:szCs w:val="18"/>
        </w:rPr>
      </w:pPr>
      <w:r w:rsidRPr="008971D9">
        <w:rPr>
          <w:rStyle w:val="FootnoteReference"/>
          <w:sz w:val="18"/>
          <w:szCs w:val="18"/>
        </w:rPr>
        <w:footnoteRef/>
      </w:r>
      <w:r w:rsidRPr="008971D9">
        <w:rPr>
          <w:sz w:val="18"/>
          <w:szCs w:val="18"/>
        </w:rPr>
        <w:t xml:space="preserve"> </w:t>
      </w:r>
      <w:r w:rsidR="00A0309F">
        <w:rPr>
          <w:i/>
          <w:iCs/>
          <w:sz w:val="18"/>
          <w:szCs w:val="18"/>
        </w:rPr>
        <w:t>S</w:t>
      </w:r>
      <w:r w:rsidRPr="008971D9">
        <w:rPr>
          <w:i/>
          <w:iCs/>
          <w:sz w:val="18"/>
          <w:szCs w:val="18"/>
        </w:rPr>
        <w:t xml:space="preserve">ee </w:t>
      </w:r>
      <w:r w:rsidRPr="008971D9">
        <w:rPr>
          <w:sz w:val="18"/>
          <w:szCs w:val="18"/>
        </w:rPr>
        <w:t xml:space="preserve">Michael Abramowicz &amp; John F. Duffy, </w:t>
      </w:r>
      <w:r w:rsidRPr="008971D9">
        <w:rPr>
          <w:i/>
          <w:iCs/>
          <w:sz w:val="18"/>
          <w:szCs w:val="18"/>
        </w:rPr>
        <w:t>Ending the Patenting Monopoly</w:t>
      </w:r>
      <w:r w:rsidRPr="008971D9">
        <w:rPr>
          <w:sz w:val="18"/>
          <w:szCs w:val="18"/>
        </w:rPr>
        <w:t>, 157 PA. L. REV. 1541, 1553 (2009) (noting the difficulties associated with firing).</w:t>
      </w:r>
    </w:p>
  </w:footnote>
  <w:footnote w:id="148">
    <w:p w14:paraId="6AD9EEAE" w14:textId="674C76F6" w:rsidR="00346634" w:rsidRDefault="00346634" w:rsidP="003D37CC">
      <w:pPr>
        <w:pStyle w:val="FootnoteText"/>
        <w:ind w:firstLine="0"/>
        <w:rPr>
          <w:sz w:val="18"/>
          <w:szCs w:val="18"/>
        </w:rPr>
      </w:pPr>
      <w:r w:rsidRPr="008971D9">
        <w:rPr>
          <w:rStyle w:val="FootnoteReference"/>
          <w:sz w:val="18"/>
          <w:szCs w:val="18"/>
        </w:rPr>
        <w:footnoteRef/>
      </w:r>
      <w:r w:rsidRPr="008971D9">
        <w:rPr>
          <w:sz w:val="18"/>
          <w:szCs w:val="18"/>
        </w:rPr>
        <w:t xml:space="preserve"> </w:t>
      </w:r>
      <w:r w:rsidR="003D37CC">
        <w:rPr>
          <w:sz w:val="18"/>
          <w:szCs w:val="18"/>
        </w:rPr>
        <w:t xml:space="preserve">Walker &amp; Wasserman, </w:t>
      </w:r>
      <w:r w:rsidR="003D37CC" w:rsidRPr="003D37CC">
        <w:rPr>
          <w:i/>
          <w:iCs/>
          <w:sz w:val="18"/>
          <w:szCs w:val="18"/>
        </w:rPr>
        <w:t>supra</w:t>
      </w:r>
      <w:r w:rsidR="003D37CC">
        <w:rPr>
          <w:sz w:val="18"/>
          <w:szCs w:val="18"/>
        </w:rPr>
        <w:t xml:space="preserve"> note 1, at</w:t>
      </w:r>
      <w:r w:rsidRPr="008971D9">
        <w:rPr>
          <w:sz w:val="18"/>
          <w:szCs w:val="18"/>
        </w:rPr>
        <w:t xml:space="preserve"> 167 (citing the 2017 ACUS survey).</w:t>
      </w:r>
    </w:p>
    <w:p w14:paraId="7B7CBC3E" w14:textId="77777777" w:rsidR="003D37CC" w:rsidRPr="008971D9" w:rsidRDefault="003D37CC" w:rsidP="003D37CC">
      <w:pPr>
        <w:pStyle w:val="FootnoteText"/>
        <w:ind w:firstLine="0"/>
        <w:rPr>
          <w:sz w:val="18"/>
          <w:szCs w:val="18"/>
        </w:rPr>
      </w:pPr>
    </w:p>
  </w:footnote>
  <w:footnote w:id="149">
    <w:p w14:paraId="1916BCFC" w14:textId="668DD9F6" w:rsidR="00C600CD" w:rsidRDefault="00C600CD" w:rsidP="003D37CC">
      <w:pPr>
        <w:widowControl/>
        <w:autoSpaceDE w:val="0"/>
        <w:autoSpaceDN w:val="0"/>
        <w:adjustRightInd w:val="0"/>
        <w:ind w:firstLine="0"/>
        <w:jc w:val="left"/>
        <w:rPr>
          <w:rFonts w:ascii="Times New Roman" w:hAnsi="Times New Roman"/>
          <w:sz w:val="18"/>
          <w:szCs w:val="18"/>
          <w:lang w:eastAsia="ko-KR"/>
        </w:rPr>
      </w:pPr>
      <w:r w:rsidRPr="008971D9">
        <w:rPr>
          <w:rStyle w:val="FootnoteReference"/>
          <w:sz w:val="18"/>
          <w:szCs w:val="18"/>
        </w:rPr>
        <w:footnoteRef/>
      </w:r>
      <w:r w:rsidRPr="008971D9">
        <w:rPr>
          <w:sz w:val="18"/>
          <w:szCs w:val="18"/>
        </w:rPr>
        <w:t xml:space="preserve"> </w:t>
      </w:r>
      <w:r w:rsidRPr="008971D9">
        <w:rPr>
          <w:rFonts w:ascii="Times New Roman" w:hAnsi="Times New Roman"/>
          <w:sz w:val="18"/>
          <w:szCs w:val="18"/>
          <w:lang w:eastAsia="ko-KR"/>
        </w:rPr>
        <w:t xml:space="preserve">BARNETT ET AL., supra note </w:t>
      </w:r>
      <w:r w:rsidR="003D37CC">
        <w:rPr>
          <w:rFonts w:ascii="Times New Roman" w:hAnsi="Times New Roman"/>
          <w:sz w:val="18"/>
          <w:szCs w:val="18"/>
          <w:lang w:eastAsia="ko-KR"/>
        </w:rPr>
        <w:t>__. at</w:t>
      </w:r>
      <w:r w:rsidRPr="008971D9">
        <w:rPr>
          <w:rFonts w:ascii="Times New Roman" w:hAnsi="Times New Roman"/>
          <w:sz w:val="18"/>
          <w:szCs w:val="18"/>
          <w:lang w:eastAsia="ko-KR"/>
        </w:rPr>
        <w:t xml:space="preserve"> 49–50 (reporting PTAB adjudication </w:t>
      </w:r>
      <w:r w:rsidR="003D37CC">
        <w:rPr>
          <w:rFonts w:ascii="Times New Roman" w:hAnsi="Times New Roman"/>
          <w:sz w:val="18"/>
          <w:szCs w:val="18"/>
          <w:lang w:eastAsia="ko-KR"/>
        </w:rPr>
        <w:t xml:space="preserve"> as having r</w:t>
      </w:r>
      <w:r w:rsidRPr="008971D9">
        <w:rPr>
          <w:rFonts w:ascii="Times New Roman" w:hAnsi="Times New Roman"/>
          <w:sz w:val="18"/>
          <w:szCs w:val="18"/>
          <w:lang w:eastAsia="ko-KR"/>
        </w:rPr>
        <w:t>recusal requirements).</w:t>
      </w:r>
    </w:p>
    <w:p w14:paraId="6AEF9A97" w14:textId="77777777" w:rsidR="003D37CC" w:rsidRPr="003D37CC" w:rsidRDefault="003D37CC" w:rsidP="003D37CC">
      <w:pPr>
        <w:widowControl/>
        <w:autoSpaceDE w:val="0"/>
        <w:autoSpaceDN w:val="0"/>
        <w:adjustRightInd w:val="0"/>
        <w:ind w:firstLine="0"/>
        <w:jc w:val="left"/>
        <w:rPr>
          <w:rFonts w:ascii="Times New Roman" w:hAnsi="Times New Roman"/>
          <w:sz w:val="18"/>
          <w:szCs w:val="18"/>
          <w:lang w:eastAsia="ko-KR"/>
        </w:rPr>
      </w:pPr>
    </w:p>
  </w:footnote>
  <w:footnote w:id="150">
    <w:p w14:paraId="2A5120B8" w14:textId="77777777" w:rsidR="00122E82" w:rsidRPr="008971D9" w:rsidRDefault="00122E82" w:rsidP="00122E82">
      <w:pPr>
        <w:widowControl/>
        <w:autoSpaceDE w:val="0"/>
        <w:autoSpaceDN w:val="0"/>
        <w:adjustRightInd w:val="0"/>
        <w:ind w:firstLine="0"/>
        <w:jc w:val="left"/>
        <w:rPr>
          <w:rFonts w:ascii="Times New Roman" w:hAnsi="Times New Roman"/>
          <w:sz w:val="18"/>
          <w:szCs w:val="18"/>
          <w:lang w:eastAsia="ko-KR"/>
        </w:rPr>
      </w:pPr>
      <w:r w:rsidRPr="008971D9">
        <w:rPr>
          <w:rStyle w:val="FootnoteReference"/>
          <w:sz w:val="18"/>
          <w:szCs w:val="18"/>
        </w:rPr>
        <w:footnoteRef/>
      </w:r>
      <w:r w:rsidRPr="008971D9">
        <w:rPr>
          <w:sz w:val="18"/>
          <w:szCs w:val="18"/>
        </w:rPr>
        <w:t xml:space="preserve"> </w:t>
      </w:r>
      <w:r w:rsidRPr="008971D9">
        <w:rPr>
          <w:rFonts w:ascii="Times New Roman" w:hAnsi="Times New Roman"/>
          <w:sz w:val="18"/>
          <w:szCs w:val="18"/>
          <w:lang w:eastAsia="ko-KR"/>
        </w:rPr>
        <w:t>37 C.F.R. § 42.63(a) (2018) (requiring that “[a]ll evidence must be filed in the form</w:t>
      </w:r>
    </w:p>
    <w:p w14:paraId="75DF1057" w14:textId="338E5C8C" w:rsidR="00122E82" w:rsidRDefault="00122E82" w:rsidP="00A0309F">
      <w:pPr>
        <w:pStyle w:val="FootnoteText"/>
        <w:ind w:firstLine="0"/>
        <w:rPr>
          <w:rFonts w:ascii="Times New Roman" w:hAnsi="Times New Roman"/>
          <w:sz w:val="18"/>
          <w:szCs w:val="18"/>
          <w:lang w:eastAsia="ko-KR"/>
        </w:rPr>
      </w:pPr>
      <w:r w:rsidRPr="008971D9">
        <w:rPr>
          <w:rFonts w:ascii="Times New Roman" w:hAnsi="Times New Roman"/>
          <w:sz w:val="18"/>
          <w:szCs w:val="18"/>
          <w:lang w:eastAsia="ko-KR"/>
        </w:rPr>
        <w:t>of an exhibit” and thus suggesting that the parties can only use evidence they submit to the agency).</w:t>
      </w:r>
    </w:p>
    <w:p w14:paraId="778141AB" w14:textId="77777777" w:rsidR="00A0309F" w:rsidRPr="008971D9" w:rsidRDefault="00A0309F" w:rsidP="00A0309F">
      <w:pPr>
        <w:pStyle w:val="FootnoteText"/>
        <w:ind w:firstLine="0"/>
        <w:rPr>
          <w:sz w:val="18"/>
          <w:szCs w:val="18"/>
        </w:rPr>
      </w:pPr>
    </w:p>
  </w:footnote>
  <w:footnote w:id="151">
    <w:p w14:paraId="37625538" w14:textId="34C14305" w:rsidR="00122E82" w:rsidRDefault="00122E82" w:rsidP="00A0309F">
      <w:pPr>
        <w:pStyle w:val="FootnoteText"/>
        <w:ind w:firstLine="0"/>
        <w:rPr>
          <w:sz w:val="18"/>
          <w:szCs w:val="18"/>
        </w:rPr>
      </w:pPr>
      <w:r w:rsidRPr="008971D9">
        <w:rPr>
          <w:rStyle w:val="FootnoteReference"/>
          <w:sz w:val="18"/>
          <w:szCs w:val="18"/>
        </w:rPr>
        <w:footnoteRef/>
      </w:r>
      <w:r w:rsidRPr="008971D9">
        <w:rPr>
          <w:sz w:val="18"/>
          <w:szCs w:val="18"/>
        </w:rPr>
        <w:t xml:space="preserve"> Walker </w:t>
      </w:r>
      <w:r w:rsidR="00A0309F">
        <w:rPr>
          <w:sz w:val="18"/>
          <w:szCs w:val="18"/>
        </w:rPr>
        <w:t xml:space="preserve">&amp; Wasserman, </w:t>
      </w:r>
      <w:r w:rsidR="00A0309F">
        <w:rPr>
          <w:i/>
          <w:iCs/>
          <w:sz w:val="18"/>
          <w:szCs w:val="18"/>
        </w:rPr>
        <w:t xml:space="preserve">supra </w:t>
      </w:r>
      <w:r w:rsidR="00A0309F">
        <w:rPr>
          <w:sz w:val="18"/>
          <w:szCs w:val="18"/>
        </w:rPr>
        <w:t>note 1, at 165.</w:t>
      </w:r>
    </w:p>
    <w:p w14:paraId="7534E111" w14:textId="77777777" w:rsidR="00A0309F" w:rsidRPr="00A0309F" w:rsidRDefault="00A0309F" w:rsidP="00A0309F">
      <w:pPr>
        <w:pStyle w:val="FootnoteText"/>
        <w:ind w:firstLine="0"/>
        <w:rPr>
          <w:sz w:val="18"/>
          <w:szCs w:val="18"/>
        </w:rPr>
      </w:pPr>
    </w:p>
  </w:footnote>
  <w:footnote w:id="152">
    <w:p w14:paraId="747177A9" w14:textId="77777777" w:rsidR="00122E82" w:rsidRPr="008971D9" w:rsidRDefault="00122E82" w:rsidP="00122E82">
      <w:pPr>
        <w:widowControl/>
        <w:autoSpaceDE w:val="0"/>
        <w:autoSpaceDN w:val="0"/>
        <w:adjustRightInd w:val="0"/>
        <w:ind w:firstLine="0"/>
        <w:jc w:val="left"/>
        <w:rPr>
          <w:rFonts w:ascii="Times New Roman" w:hAnsi="Times New Roman"/>
          <w:sz w:val="18"/>
          <w:szCs w:val="18"/>
          <w:lang w:eastAsia="ko-KR"/>
        </w:rPr>
      </w:pPr>
      <w:r w:rsidRPr="008971D9">
        <w:rPr>
          <w:rStyle w:val="FootnoteReference"/>
          <w:sz w:val="18"/>
          <w:szCs w:val="18"/>
        </w:rPr>
        <w:footnoteRef/>
      </w:r>
      <w:r w:rsidRPr="008971D9">
        <w:rPr>
          <w:sz w:val="18"/>
          <w:szCs w:val="18"/>
        </w:rPr>
        <w:t xml:space="preserve"> </w:t>
      </w:r>
      <w:r w:rsidRPr="00A0309F">
        <w:rPr>
          <w:rFonts w:ascii="Times New Roman" w:hAnsi="Times New Roman"/>
          <w:i/>
          <w:iCs/>
          <w:sz w:val="18"/>
          <w:szCs w:val="18"/>
          <w:lang w:eastAsia="ko-KR"/>
        </w:rPr>
        <w:t>See, e.g.,</w:t>
      </w:r>
      <w:r w:rsidRPr="008971D9">
        <w:rPr>
          <w:rFonts w:ascii="Times New Roman" w:hAnsi="Times New Roman"/>
          <w:sz w:val="18"/>
          <w:szCs w:val="18"/>
          <w:lang w:eastAsia="ko-KR"/>
        </w:rPr>
        <w:t xml:space="preserve"> Synopsys, Inc. v. Mentor Graphics Corp., 814 F.3d 1309, 1322 (Fed. Cir. 2016)</w:t>
      </w:r>
    </w:p>
    <w:p w14:paraId="0E1128F0" w14:textId="7C7AA870" w:rsidR="00122E82" w:rsidRDefault="00122E82" w:rsidP="00A0309F">
      <w:pPr>
        <w:widowControl/>
        <w:autoSpaceDE w:val="0"/>
        <w:autoSpaceDN w:val="0"/>
        <w:adjustRightInd w:val="0"/>
        <w:ind w:firstLine="0"/>
        <w:jc w:val="left"/>
        <w:rPr>
          <w:rFonts w:ascii="Times New Roman" w:hAnsi="Times New Roman"/>
          <w:sz w:val="18"/>
          <w:szCs w:val="18"/>
          <w:lang w:eastAsia="ko-KR"/>
        </w:rPr>
      </w:pPr>
      <w:r w:rsidRPr="008971D9">
        <w:rPr>
          <w:rFonts w:ascii="Times New Roman" w:hAnsi="Times New Roman"/>
          <w:sz w:val="18"/>
          <w:szCs w:val="18"/>
          <w:lang w:eastAsia="ko-KR"/>
        </w:rPr>
        <w:t>(requiring the PTAB to meet the requirements of APA-governed formal adjudication including 5 U.S.C.</w:t>
      </w:r>
      <w:r w:rsidR="00A0309F">
        <w:rPr>
          <w:rFonts w:ascii="Times New Roman" w:hAnsi="Times New Roman"/>
          <w:sz w:val="18"/>
          <w:szCs w:val="18"/>
          <w:lang w:eastAsia="ko-KR"/>
        </w:rPr>
        <w:t xml:space="preserve"> </w:t>
      </w:r>
      <w:r w:rsidRPr="008971D9">
        <w:rPr>
          <w:rFonts w:ascii="Times New Roman" w:hAnsi="Times New Roman"/>
          <w:sz w:val="18"/>
          <w:szCs w:val="18"/>
          <w:lang w:eastAsia="ko-KR"/>
        </w:rPr>
        <w:t>§ 557(c)(3)(A) to “include a statement of findings and</w:t>
      </w:r>
      <w:r w:rsidR="00A0309F">
        <w:rPr>
          <w:rFonts w:ascii="Times New Roman" w:hAnsi="Times New Roman"/>
          <w:sz w:val="18"/>
          <w:szCs w:val="18"/>
          <w:lang w:eastAsia="ko-KR"/>
        </w:rPr>
        <w:t xml:space="preserve"> </w:t>
      </w:r>
      <w:r w:rsidRPr="008971D9">
        <w:rPr>
          <w:rFonts w:ascii="Times New Roman" w:hAnsi="Times New Roman"/>
          <w:sz w:val="18"/>
          <w:szCs w:val="18"/>
          <w:lang w:eastAsia="ko-KR"/>
        </w:rPr>
        <w:t>conclusions, and the reasons or basis therefor, on all the material issues of fact, law, or discretion</w:t>
      </w:r>
      <w:r w:rsidR="00A0309F">
        <w:rPr>
          <w:rFonts w:ascii="Times New Roman" w:hAnsi="Times New Roman"/>
          <w:sz w:val="18"/>
          <w:szCs w:val="18"/>
          <w:lang w:eastAsia="ko-KR"/>
        </w:rPr>
        <w:t xml:space="preserve"> </w:t>
      </w:r>
      <w:r w:rsidRPr="008971D9">
        <w:rPr>
          <w:rFonts w:ascii="Times New Roman" w:hAnsi="Times New Roman"/>
          <w:sz w:val="18"/>
          <w:szCs w:val="18"/>
          <w:lang w:eastAsia="ko-KR"/>
        </w:rPr>
        <w:t>presented on the record”).</w:t>
      </w:r>
    </w:p>
    <w:p w14:paraId="089CCDAC" w14:textId="77777777" w:rsidR="00A0309F" w:rsidRPr="00A0309F" w:rsidRDefault="00A0309F" w:rsidP="00A0309F">
      <w:pPr>
        <w:widowControl/>
        <w:autoSpaceDE w:val="0"/>
        <w:autoSpaceDN w:val="0"/>
        <w:adjustRightInd w:val="0"/>
        <w:ind w:firstLine="0"/>
        <w:jc w:val="left"/>
        <w:rPr>
          <w:rFonts w:ascii="Times New Roman" w:hAnsi="Times New Roman"/>
          <w:sz w:val="18"/>
          <w:szCs w:val="18"/>
          <w:lang w:eastAsia="ko-KR"/>
        </w:rPr>
      </w:pPr>
    </w:p>
  </w:footnote>
  <w:footnote w:id="153">
    <w:p w14:paraId="4A2F0070" w14:textId="7C98E2B9" w:rsidR="008227B1" w:rsidRPr="008971D9" w:rsidRDefault="008227B1" w:rsidP="00A0309F">
      <w:pPr>
        <w:pStyle w:val="FootnoteText"/>
        <w:ind w:firstLine="0"/>
        <w:rPr>
          <w:sz w:val="18"/>
          <w:szCs w:val="18"/>
        </w:rPr>
      </w:pPr>
      <w:r w:rsidRPr="008971D9">
        <w:rPr>
          <w:rStyle w:val="FootnoteReference"/>
          <w:sz w:val="18"/>
          <w:szCs w:val="18"/>
        </w:rPr>
        <w:footnoteRef/>
      </w:r>
      <w:r w:rsidRPr="008971D9">
        <w:rPr>
          <w:sz w:val="18"/>
          <w:szCs w:val="18"/>
        </w:rPr>
        <w:t xml:space="preserve"> </w:t>
      </w:r>
      <w:r w:rsidRPr="008971D9">
        <w:rPr>
          <w:rFonts w:ascii="Times New Roman" w:hAnsi="Times New Roman"/>
          <w:sz w:val="18"/>
          <w:szCs w:val="18"/>
          <w:lang w:eastAsia="ko-KR"/>
        </w:rPr>
        <w:t>35 U.S.C. § 6(c) (2012).</w:t>
      </w:r>
    </w:p>
  </w:footnote>
  <w:footnote w:id="154">
    <w:p w14:paraId="4541EF3B" w14:textId="77777777" w:rsidR="007A72A0" w:rsidRPr="008971D9" w:rsidRDefault="007A72A0" w:rsidP="007A72A0">
      <w:pPr>
        <w:pStyle w:val="NormalWeb"/>
        <w:rPr>
          <w:sz w:val="18"/>
          <w:szCs w:val="18"/>
        </w:rPr>
      </w:pPr>
      <w:r w:rsidRPr="008971D9">
        <w:rPr>
          <w:rStyle w:val="FootnoteReference"/>
          <w:sz w:val="18"/>
          <w:szCs w:val="18"/>
        </w:rPr>
        <w:footnoteRef/>
      </w:r>
      <w:r w:rsidRPr="008971D9">
        <w:rPr>
          <w:sz w:val="18"/>
          <w:szCs w:val="18"/>
        </w:rPr>
        <w:t xml:space="preserve"> </w:t>
      </w:r>
      <w:r w:rsidRPr="008971D9">
        <w:rPr>
          <w:rFonts w:ascii="TimesNewRomanPSMT" w:hAnsi="TimesNewRomanPSMT"/>
          <w:sz w:val="18"/>
          <w:szCs w:val="18"/>
        </w:rPr>
        <w:t xml:space="preserve">23 U.S.P.Q.2d (BNA) 1340 (B.P.A.I. 1991), </w:t>
      </w:r>
      <w:r w:rsidRPr="008971D9">
        <w:rPr>
          <w:rFonts w:ascii="TimesNewRomanPS" w:hAnsi="TimesNewRomanPS"/>
          <w:i/>
          <w:iCs/>
          <w:sz w:val="18"/>
          <w:szCs w:val="18"/>
        </w:rPr>
        <w:t>rev’d</w:t>
      </w:r>
      <w:r w:rsidRPr="008971D9">
        <w:rPr>
          <w:rFonts w:ascii="TimesNewRomanPSMT" w:hAnsi="TimesNewRomanPSMT"/>
          <w:sz w:val="18"/>
          <w:szCs w:val="18"/>
        </w:rPr>
        <w:t xml:space="preserve">, 33 F.3d 1526 (Fed. Cir. 1994). </w:t>
      </w:r>
    </w:p>
  </w:footnote>
  <w:footnote w:id="155">
    <w:p w14:paraId="0D837E95" w14:textId="77777777" w:rsidR="007A72A0" w:rsidRPr="008971D9" w:rsidRDefault="007A72A0" w:rsidP="007A72A0">
      <w:pPr>
        <w:pStyle w:val="NormalWeb"/>
        <w:rPr>
          <w:rFonts w:ascii="TimesNewRomanPSMT" w:hAnsi="TimesNewRomanPSMT"/>
          <w:sz w:val="18"/>
          <w:szCs w:val="18"/>
        </w:rPr>
      </w:pPr>
      <w:r w:rsidRPr="008971D9">
        <w:rPr>
          <w:rStyle w:val="FootnoteReference"/>
          <w:sz w:val="18"/>
          <w:szCs w:val="18"/>
        </w:rPr>
        <w:footnoteRef/>
      </w:r>
      <w:r w:rsidRPr="008971D9">
        <w:rPr>
          <w:sz w:val="18"/>
          <w:szCs w:val="18"/>
        </w:rPr>
        <w:t xml:space="preserve"> </w:t>
      </w:r>
      <w:r w:rsidRPr="008971D9">
        <w:rPr>
          <w:rFonts w:ascii="TimesNewRomanPSMT" w:hAnsi="TimesNewRomanPSMT"/>
          <w:sz w:val="18"/>
          <w:szCs w:val="18"/>
        </w:rPr>
        <w:t>868 F.3d 1013 (Fed. Cir. 2017).</w:t>
      </w:r>
    </w:p>
  </w:footnote>
  <w:footnote w:id="156">
    <w:p w14:paraId="2783B6A6" w14:textId="77777777" w:rsidR="00A16497" w:rsidRPr="008971D9" w:rsidRDefault="00A16497" w:rsidP="00A16497">
      <w:pPr>
        <w:pStyle w:val="NormalWeb"/>
        <w:rPr>
          <w:sz w:val="18"/>
          <w:szCs w:val="18"/>
        </w:rPr>
      </w:pPr>
      <w:r w:rsidRPr="008971D9">
        <w:rPr>
          <w:rStyle w:val="FootnoteReference"/>
          <w:sz w:val="18"/>
          <w:szCs w:val="18"/>
        </w:rPr>
        <w:footnoteRef/>
      </w:r>
      <w:r w:rsidRPr="008971D9">
        <w:rPr>
          <w:sz w:val="18"/>
          <w:szCs w:val="18"/>
        </w:rPr>
        <w:t xml:space="preserve"> </w:t>
      </w:r>
      <w:r w:rsidRPr="008971D9">
        <w:rPr>
          <w:rFonts w:ascii="TimesNewRomanPSMT" w:hAnsi="TimesNewRomanPSMT"/>
          <w:sz w:val="18"/>
          <w:szCs w:val="18"/>
        </w:rPr>
        <w:t xml:space="preserve">Target Corp. v. Destination Maternity Corp., No. IPR 2014-00508, Paper 18 (P.T.A.B. Sept.t. 25, 2014) </w:t>
      </w:r>
    </w:p>
  </w:footnote>
  <w:footnote w:id="157">
    <w:p w14:paraId="36A33594" w14:textId="02F99FA6" w:rsidR="00F66B07" w:rsidRPr="00F66B07" w:rsidRDefault="00F66B07" w:rsidP="00F66B07">
      <w:pPr>
        <w:pStyle w:val="FootnoteText"/>
        <w:ind w:firstLine="0"/>
      </w:pPr>
      <w:r>
        <w:rPr>
          <w:rStyle w:val="FootnoteReference"/>
        </w:rPr>
        <w:footnoteRef/>
      </w:r>
      <w:r>
        <w:t xml:space="preserve"> Part of the reason for this low number is because the process for making precedential opinions less cumbersome was only changed in September 2018. Walker &amp; Wasserman, </w:t>
      </w:r>
      <w:r>
        <w:rPr>
          <w:i/>
          <w:iCs/>
        </w:rPr>
        <w:t xml:space="preserve">supra </w:t>
      </w:r>
      <w:r>
        <w:t>note 1, at</w:t>
      </w:r>
      <w:r w:rsidR="00135B5C">
        <w:t xml:space="preserve"> 194.</w:t>
      </w:r>
    </w:p>
  </w:footnote>
  <w:footnote w:id="158">
    <w:p w14:paraId="2DC498D0" w14:textId="5F174E62" w:rsidR="0017729A" w:rsidRPr="008971D9" w:rsidRDefault="0017729A" w:rsidP="005E0A6E">
      <w:pPr>
        <w:pStyle w:val="NormalWeb"/>
        <w:rPr>
          <w:sz w:val="18"/>
          <w:szCs w:val="18"/>
        </w:rPr>
      </w:pPr>
      <w:r w:rsidRPr="008971D9">
        <w:rPr>
          <w:rStyle w:val="FootnoteReference"/>
          <w:sz w:val="18"/>
          <w:szCs w:val="18"/>
        </w:rPr>
        <w:footnoteRef/>
      </w:r>
      <w:r w:rsidRPr="008971D9">
        <w:rPr>
          <w:sz w:val="18"/>
          <w:szCs w:val="18"/>
        </w:rPr>
        <w:t xml:space="preserve"> </w:t>
      </w:r>
      <w:r w:rsidR="00A0309F" w:rsidRPr="008971D9">
        <w:rPr>
          <w:sz w:val="18"/>
          <w:szCs w:val="18"/>
        </w:rPr>
        <w:t>35 U.S.C. § 1(a) (2006)</w:t>
      </w:r>
      <w:r w:rsidR="00A0309F">
        <w:rPr>
          <w:sz w:val="18"/>
          <w:szCs w:val="18"/>
        </w:rPr>
        <w:t xml:space="preserve"> (“</w:t>
      </w:r>
      <w:r w:rsidRPr="008971D9">
        <w:rPr>
          <w:sz w:val="18"/>
          <w:szCs w:val="18"/>
        </w:rPr>
        <w:t>T]he PTO Director’s primary duty—to ‘provid[e] policy direction and management supervision for the [PTO]’—is subject to the oversight of the Secretary of Commerce.”</w:t>
      </w:r>
      <w:r w:rsidR="00A0309F">
        <w:rPr>
          <w:sz w:val="18"/>
          <w:szCs w:val="18"/>
        </w:rPr>
        <w:t>)</w:t>
      </w:r>
      <w:r w:rsidRPr="008971D9">
        <w:rPr>
          <w:sz w:val="18"/>
          <w:szCs w:val="18"/>
        </w:rPr>
        <w:t xml:space="preserve">. </w:t>
      </w:r>
    </w:p>
  </w:footnote>
  <w:footnote w:id="159">
    <w:p w14:paraId="6A27286B" w14:textId="27751A98" w:rsidR="0017729A" w:rsidRPr="008971D9" w:rsidRDefault="0017729A" w:rsidP="005E0A6E">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Shub</w:t>
      </w:r>
      <w:r w:rsidR="00351642" w:rsidRPr="008971D9">
        <w:rPr>
          <w:rFonts w:ascii="Times New Roman" w:hAnsi="Times New Roman"/>
          <w:sz w:val="18"/>
          <w:szCs w:val="18"/>
        </w:rPr>
        <w:t>nakumar</w:t>
      </w:r>
      <w:r w:rsidRPr="008971D9">
        <w:rPr>
          <w:rFonts w:ascii="Times New Roman" w:hAnsi="Times New Roman"/>
          <w:sz w:val="18"/>
          <w:szCs w:val="18"/>
        </w:rPr>
        <w:t xml:space="preserve">, </w:t>
      </w:r>
      <w:r w:rsidRPr="008971D9">
        <w:rPr>
          <w:rFonts w:ascii="Times New Roman" w:hAnsi="Times New Roman"/>
          <w:i/>
          <w:iCs/>
          <w:sz w:val="18"/>
          <w:szCs w:val="18"/>
        </w:rPr>
        <w:t xml:space="preserve">supra </w:t>
      </w:r>
      <w:r w:rsidRPr="008971D9">
        <w:rPr>
          <w:rFonts w:ascii="Times New Roman" w:hAnsi="Times New Roman"/>
          <w:sz w:val="18"/>
          <w:szCs w:val="18"/>
        </w:rPr>
        <w:t>note</w:t>
      </w:r>
      <w:r w:rsidR="00A0309F">
        <w:rPr>
          <w:rFonts w:ascii="Times New Roman" w:hAnsi="Times New Roman"/>
          <w:sz w:val="18"/>
          <w:szCs w:val="18"/>
        </w:rPr>
        <w:t>__</w:t>
      </w:r>
      <w:r w:rsidRPr="008971D9">
        <w:rPr>
          <w:rFonts w:ascii="Times New Roman" w:hAnsi="Times New Roman"/>
          <w:sz w:val="18"/>
          <w:szCs w:val="18"/>
        </w:rPr>
        <w:t>, at 1709.</w:t>
      </w:r>
    </w:p>
    <w:p w14:paraId="6276942F" w14:textId="77777777" w:rsidR="00351642" w:rsidRPr="008971D9" w:rsidRDefault="00351642" w:rsidP="005E0A6E">
      <w:pPr>
        <w:pStyle w:val="FootnoteText"/>
        <w:ind w:firstLine="0"/>
        <w:rPr>
          <w:rFonts w:ascii="Times New Roman" w:hAnsi="Times New Roman"/>
          <w:sz w:val="18"/>
          <w:szCs w:val="18"/>
        </w:rPr>
      </w:pPr>
    </w:p>
  </w:footnote>
  <w:footnote w:id="160">
    <w:p w14:paraId="7BD3833C" w14:textId="035601CB" w:rsidR="005E0A6E" w:rsidRDefault="0017729A" w:rsidP="005D5CB0">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Pr="008971D9">
        <w:rPr>
          <w:rFonts w:ascii="Times New Roman" w:hAnsi="Times New Roman"/>
          <w:i/>
          <w:iCs/>
          <w:sz w:val="18"/>
          <w:szCs w:val="18"/>
        </w:rPr>
        <w:t xml:space="preserve">See </w:t>
      </w:r>
      <w:r w:rsidRPr="008971D9">
        <w:rPr>
          <w:rFonts w:ascii="Times New Roman" w:hAnsi="Times New Roman"/>
          <w:sz w:val="18"/>
          <w:szCs w:val="18"/>
        </w:rPr>
        <w:t xml:space="preserve">Vishnubhakat, </w:t>
      </w:r>
      <w:r w:rsidRPr="008971D9">
        <w:rPr>
          <w:rFonts w:ascii="Times New Roman" w:hAnsi="Times New Roman"/>
          <w:i/>
          <w:iCs/>
          <w:sz w:val="18"/>
          <w:szCs w:val="18"/>
        </w:rPr>
        <w:t>Precedent and Process in the Patent Trial and Appeal Board</w:t>
      </w:r>
      <w:r w:rsidRPr="008971D9">
        <w:rPr>
          <w:rFonts w:ascii="Times New Roman" w:hAnsi="Times New Roman"/>
          <w:sz w:val="18"/>
          <w:szCs w:val="18"/>
        </w:rPr>
        <w:t xml:space="preserve">, </w:t>
      </w:r>
      <w:r w:rsidRPr="008971D9">
        <w:rPr>
          <w:rFonts w:ascii="Times New Roman" w:hAnsi="Times New Roman"/>
          <w:i/>
          <w:iCs/>
          <w:sz w:val="18"/>
          <w:szCs w:val="18"/>
        </w:rPr>
        <w:t xml:space="preserve">supra </w:t>
      </w:r>
      <w:r w:rsidRPr="008971D9">
        <w:rPr>
          <w:rFonts w:ascii="Times New Roman" w:hAnsi="Times New Roman"/>
          <w:sz w:val="18"/>
          <w:szCs w:val="18"/>
        </w:rPr>
        <w:t>(“[A]ll opinions are routine by default, and some further action is necessary to elevate an opinion’s status.”).</w:t>
      </w:r>
    </w:p>
    <w:p w14:paraId="158F7961" w14:textId="77777777" w:rsidR="003B1BB4" w:rsidRPr="008971D9" w:rsidRDefault="003B1BB4" w:rsidP="005D5CB0">
      <w:pPr>
        <w:pStyle w:val="FootnoteText"/>
        <w:ind w:firstLine="0"/>
        <w:rPr>
          <w:rFonts w:ascii="Times New Roman" w:hAnsi="Times New Roman"/>
          <w:sz w:val="18"/>
          <w:szCs w:val="18"/>
        </w:rPr>
      </w:pPr>
    </w:p>
  </w:footnote>
  <w:footnote w:id="161">
    <w:p w14:paraId="6C5A1ED0" w14:textId="1E174B67" w:rsidR="007627FA" w:rsidRDefault="007627FA" w:rsidP="007627FA">
      <w:pPr>
        <w:pStyle w:val="FootnoteText"/>
        <w:ind w:firstLine="0"/>
        <w:rPr>
          <w:sz w:val="18"/>
          <w:szCs w:val="18"/>
        </w:rPr>
      </w:pPr>
      <w:r>
        <w:rPr>
          <w:rStyle w:val="FootnoteReference"/>
        </w:rPr>
        <w:footnoteRef/>
      </w:r>
      <w:r>
        <w:t xml:space="preserve"> </w:t>
      </w:r>
      <w:r w:rsidRPr="007627FA">
        <w:rPr>
          <w:sz w:val="18"/>
          <w:szCs w:val="18"/>
        </w:rPr>
        <w:t xml:space="preserve">The PTO has streamlined the procedures for designating an opinion precedential and has also created a “Precedential Opinion Panel” to designate such cases. Walker &amp; Wasserman, </w:t>
      </w:r>
      <w:r w:rsidRPr="007627FA">
        <w:rPr>
          <w:i/>
          <w:iCs/>
          <w:sz w:val="18"/>
          <w:szCs w:val="18"/>
        </w:rPr>
        <w:t>supra</w:t>
      </w:r>
      <w:r w:rsidRPr="007627FA">
        <w:rPr>
          <w:sz w:val="18"/>
          <w:szCs w:val="18"/>
        </w:rPr>
        <w:t xml:space="preserve"> note 1, at 194-95. Still, the numbers are low.</w:t>
      </w:r>
    </w:p>
    <w:p w14:paraId="7EB47692" w14:textId="77777777" w:rsidR="007627FA" w:rsidRDefault="007627FA" w:rsidP="007627FA">
      <w:pPr>
        <w:pStyle w:val="FootnoteText"/>
        <w:ind w:firstLine="0"/>
      </w:pPr>
    </w:p>
  </w:footnote>
  <w:footnote w:id="162">
    <w:p w14:paraId="58FB6A2C" w14:textId="2EF0ACD6" w:rsidR="00BF4434" w:rsidRPr="008971D9" w:rsidRDefault="00BF4434" w:rsidP="00BF4434">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0006552B">
        <w:rPr>
          <w:i/>
          <w:iCs/>
          <w:sz w:val="18"/>
          <w:szCs w:val="18"/>
        </w:rPr>
        <w:t xml:space="preserve">Id. </w:t>
      </w:r>
      <w:r w:rsidRPr="008971D9">
        <w:rPr>
          <w:rFonts w:ascii="Times New Roman" w:hAnsi="Times New Roman"/>
          <w:sz w:val="18"/>
          <w:szCs w:val="18"/>
        </w:rPr>
        <w:t>at 176.</w:t>
      </w:r>
    </w:p>
  </w:footnote>
  <w:footnote w:id="163">
    <w:p w14:paraId="402501E9" w14:textId="77777777" w:rsidR="00BF4434" w:rsidRPr="008971D9" w:rsidRDefault="00BF4434" w:rsidP="00BF4434">
      <w:pPr>
        <w:pStyle w:val="NormalWeb"/>
        <w:rPr>
          <w:sz w:val="18"/>
          <w:szCs w:val="18"/>
        </w:rPr>
      </w:pPr>
      <w:r w:rsidRPr="008971D9">
        <w:rPr>
          <w:rStyle w:val="FootnoteReference"/>
          <w:sz w:val="18"/>
          <w:szCs w:val="18"/>
        </w:rPr>
        <w:footnoteRef/>
      </w:r>
      <w:r w:rsidRPr="008971D9">
        <w:rPr>
          <w:sz w:val="18"/>
          <w:szCs w:val="18"/>
        </w:rPr>
        <w:t xml:space="preserve">5 U.S.C. § 551(4)–(5) (2012). </w:t>
      </w:r>
    </w:p>
  </w:footnote>
  <w:footnote w:id="164">
    <w:p w14:paraId="66C71F02" w14:textId="2411032B" w:rsidR="00BF4434" w:rsidRPr="008971D9" w:rsidRDefault="00BF4434" w:rsidP="00BF4434">
      <w:pPr>
        <w:pStyle w:val="NormalWeb"/>
        <w:rPr>
          <w:sz w:val="18"/>
          <w:szCs w:val="18"/>
        </w:rPr>
      </w:pPr>
      <w:r w:rsidRPr="008971D9">
        <w:rPr>
          <w:rStyle w:val="FootnoteReference"/>
          <w:sz w:val="18"/>
          <w:szCs w:val="18"/>
        </w:rPr>
        <w:footnoteRef/>
      </w:r>
      <w:r w:rsidRPr="008971D9">
        <w:rPr>
          <w:sz w:val="18"/>
          <w:szCs w:val="18"/>
        </w:rPr>
        <w:t xml:space="preserve"> </w:t>
      </w:r>
      <w:r w:rsidR="000E5014" w:rsidRPr="008971D9">
        <w:rPr>
          <w:i/>
          <w:iCs/>
          <w:sz w:val="18"/>
          <w:szCs w:val="18"/>
        </w:rPr>
        <w:t>S</w:t>
      </w:r>
      <w:r w:rsidRPr="008971D9">
        <w:rPr>
          <w:i/>
          <w:iCs/>
          <w:sz w:val="18"/>
          <w:szCs w:val="18"/>
        </w:rPr>
        <w:t xml:space="preserve">ee </w:t>
      </w:r>
      <w:r w:rsidRPr="008971D9">
        <w:rPr>
          <w:sz w:val="18"/>
          <w:szCs w:val="18"/>
        </w:rPr>
        <w:t xml:space="preserve">Ronald M. Levin, </w:t>
      </w:r>
      <w:r w:rsidRPr="008971D9">
        <w:rPr>
          <w:i/>
          <w:iCs/>
          <w:sz w:val="18"/>
          <w:szCs w:val="18"/>
        </w:rPr>
        <w:t>The Case for (Finally) Fixing the APA’s Definition of “Rule</w:t>
      </w:r>
      <w:r w:rsidRPr="008971D9">
        <w:rPr>
          <w:sz w:val="18"/>
          <w:szCs w:val="18"/>
        </w:rPr>
        <w:t>,</w:t>
      </w:r>
      <w:r w:rsidRPr="008971D9">
        <w:rPr>
          <w:i/>
          <w:iCs/>
          <w:sz w:val="18"/>
          <w:szCs w:val="18"/>
        </w:rPr>
        <w:t xml:space="preserve">” </w:t>
      </w:r>
      <w:r w:rsidRPr="008971D9">
        <w:rPr>
          <w:sz w:val="18"/>
          <w:szCs w:val="18"/>
        </w:rPr>
        <w:t xml:space="preserve">56 ADMIN. L. REV. 1077 (2004) (noting that the APA’s distinction between rulemaking and adjudication is confusing and arguing that the APA’s definition of “rule” “may be the most blatantly defective provision in the Act”). </w:t>
      </w:r>
    </w:p>
    <w:p w14:paraId="7FFD87FC" w14:textId="77777777" w:rsidR="00BF4434" w:rsidRPr="008971D9" w:rsidRDefault="00BF4434" w:rsidP="00BF4434">
      <w:pPr>
        <w:pStyle w:val="FootnoteText"/>
        <w:rPr>
          <w:rFonts w:ascii="Times New Roman" w:hAnsi="Times New Roman"/>
          <w:sz w:val="18"/>
          <w:szCs w:val="18"/>
        </w:rPr>
      </w:pPr>
    </w:p>
  </w:footnote>
  <w:footnote w:id="165">
    <w:p w14:paraId="6CE546BA" w14:textId="791EA198" w:rsidR="00576B12" w:rsidRPr="008971D9" w:rsidRDefault="00576B12" w:rsidP="005E0A6E">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w:t>
      </w:r>
      <w:r w:rsidR="00A0309F">
        <w:rPr>
          <w:rFonts w:ascii="Times New Roman" w:hAnsi="Times New Roman"/>
          <w:sz w:val="18"/>
          <w:szCs w:val="18"/>
        </w:rPr>
        <w:t xml:space="preserve">alker &amp; Wasserman, </w:t>
      </w:r>
      <w:r w:rsidR="00A0309F">
        <w:rPr>
          <w:rFonts w:ascii="Times New Roman" w:hAnsi="Times New Roman"/>
          <w:i/>
          <w:iCs/>
          <w:sz w:val="18"/>
          <w:szCs w:val="18"/>
        </w:rPr>
        <w:t xml:space="preserve">supra </w:t>
      </w:r>
      <w:r w:rsidR="00A0309F">
        <w:rPr>
          <w:rFonts w:ascii="Times New Roman" w:hAnsi="Times New Roman"/>
          <w:sz w:val="18"/>
          <w:szCs w:val="18"/>
        </w:rPr>
        <w:t xml:space="preserve"> note 1</w:t>
      </w:r>
      <w:r w:rsidRPr="008971D9">
        <w:rPr>
          <w:rFonts w:ascii="Times New Roman" w:hAnsi="Times New Roman"/>
          <w:sz w:val="18"/>
          <w:szCs w:val="18"/>
        </w:rPr>
        <w:t>,</w:t>
      </w:r>
      <w:r w:rsidR="00A0309F">
        <w:rPr>
          <w:rFonts w:ascii="Times New Roman" w:hAnsi="Times New Roman"/>
          <w:sz w:val="18"/>
          <w:szCs w:val="18"/>
        </w:rPr>
        <w:t xml:space="preserve"> at </w:t>
      </w:r>
      <w:r w:rsidRPr="008971D9">
        <w:rPr>
          <w:rFonts w:ascii="Times New Roman" w:hAnsi="Times New Roman"/>
          <w:sz w:val="18"/>
          <w:szCs w:val="18"/>
        </w:rPr>
        <w:t xml:space="preserve">174. </w:t>
      </w:r>
    </w:p>
  </w:footnote>
  <w:footnote w:id="166">
    <w:p w14:paraId="3A46FF27" w14:textId="7BA8C741" w:rsidR="00576B12" w:rsidRPr="008971D9" w:rsidRDefault="00576B12" w:rsidP="005E0A6E">
      <w:pPr>
        <w:pStyle w:val="NormalWeb"/>
        <w:rPr>
          <w:sz w:val="18"/>
          <w:szCs w:val="18"/>
        </w:rPr>
      </w:pPr>
      <w:r w:rsidRPr="008971D9">
        <w:rPr>
          <w:rStyle w:val="FootnoteReference"/>
          <w:sz w:val="18"/>
          <w:szCs w:val="18"/>
        </w:rPr>
        <w:footnoteRef/>
      </w:r>
      <w:r w:rsidRPr="008971D9">
        <w:rPr>
          <w:sz w:val="18"/>
          <w:szCs w:val="18"/>
        </w:rPr>
        <w:t xml:space="preserve"> </w:t>
      </w:r>
      <w:r w:rsidR="00A0309F" w:rsidRPr="00A0309F">
        <w:rPr>
          <w:i/>
          <w:iCs/>
          <w:sz w:val="18"/>
          <w:szCs w:val="18"/>
        </w:rPr>
        <w:t>Id.</w:t>
      </w:r>
      <w:r w:rsidR="00A0309F">
        <w:rPr>
          <w:sz w:val="18"/>
          <w:szCs w:val="18"/>
        </w:rPr>
        <w:t xml:space="preserve"> (citing </w:t>
      </w:r>
      <w:r w:rsidRPr="008971D9">
        <w:rPr>
          <w:sz w:val="18"/>
          <w:szCs w:val="18"/>
        </w:rPr>
        <w:t>Personnel Security Hearing, Case No. PSH-14-0011 (Dep’t of Energy June 19, 2014) (Administrative Judge Decision)</w:t>
      </w:r>
      <w:r w:rsidR="00A0309F">
        <w:rPr>
          <w:sz w:val="18"/>
          <w:szCs w:val="18"/>
        </w:rPr>
        <w:t>).</w:t>
      </w:r>
    </w:p>
  </w:footnote>
  <w:footnote w:id="167">
    <w:p w14:paraId="6E8CE5BC" w14:textId="4A14166E" w:rsidR="00576B12" w:rsidRPr="008971D9" w:rsidRDefault="00576B12" w:rsidP="005E0A6E">
      <w:pPr>
        <w:pStyle w:val="FootnoteText"/>
        <w:ind w:firstLine="0"/>
        <w:rPr>
          <w:rFonts w:ascii="Times New Roman" w:hAnsi="Times New Roman"/>
          <w:i/>
          <w:iCs/>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t>
      </w:r>
      <w:r w:rsidRPr="008971D9">
        <w:rPr>
          <w:rFonts w:ascii="Times New Roman" w:hAnsi="Times New Roman"/>
          <w:i/>
          <w:iCs/>
          <w:sz w:val="18"/>
          <w:szCs w:val="18"/>
        </w:rPr>
        <w:t>Id.</w:t>
      </w:r>
    </w:p>
  </w:footnote>
  <w:footnote w:id="168">
    <w:p w14:paraId="7B8D86E2" w14:textId="77777777" w:rsidR="00A0309F" w:rsidRDefault="00A0309F">
      <w:pPr>
        <w:pStyle w:val="FootnoteText"/>
        <w:rPr>
          <w:sz w:val="18"/>
          <w:szCs w:val="18"/>
        </w:rPr>
      </w:pPr>
    </w:p>
    <w:p w14:paraId="6BCA6898" w14:textId="57BCD549" w:rsidR="008817E5" w:rsidRDefault="008817E5" w:rsidP="00A0309F">
      <w:pPr>
        <w:pStyle w:val="FootnoteText"/>
        <w:ind w:firstLine="0"/>
        <w:rPr>
          <w:rFonts w:ascii="Times New Roman" w:hAnsi="Times New Roman"/>
          <w:sz w:val="18"/>
          <w:szCs w:val="18"/>
          <w:lang w:eastAsia="ko-KR"/>
        </w:rPr>
      </w:pPr>
      <w:r w:rsidRPr="008971D9">
        <w:rPr>
          <w:rStyle w:val="FootnoteReference"/>
          <w:sz w:val="18"/>
          <w:szCs w:val="18"/>
        </w:rPr>
        <w:footnoteRef/>
      </w:r>
      <w:r w:rsidRPr="008971D9">
        <w:rPr>
          <w:sz w:val="18"/>
          <w:szCs w:val="18"/>
        </w:rPr>
        <w:t xml:space="preserve"> Asimov, at 66-</w:t>
      </w:r>
      <w:r w:rsidRPr="00A0309F">
        <w:rPr>
          <w:sz w:val="18"/>
          <w:szCs w:val="18"/>
        </w:rPr>
        <w:t xml:space="preserve">68; </w:t>
      </w:r>
      <w:r w:rsidRPr="00A0309F">
        <w:rPr>
          <w:rFonts w:ascii="Times New Roman" w:hAnsi="Times New Roman"/>
          <w:sz w:val="18"/>
          <w:szCs w:val="18"/>
          <w:lang w:eastAsia="ko-KR"/>
        </w:rPr>
        <w:t>8 C.F.R. § 1003.1 (2018)</w:t>
      </w:r>
      <w:r w:rsidR="00A0309F">
        <w:rPr>
          <w:rFonts w:ascii="Times New Roman" w:hAnsi="Times New Roman"/>
          <w:sz w:val="18"/>
          <w:szCs w:val="18"/>
          <w:lang w:eastAsia="ko-KR"/>
        </w:rPr>
        <w:t>.</w:t>
      </w:r>
    </w:p>
    <w:p w14:paraId="024F28E4" w14:textId="77777777" w:rsidR="00A0309F" w:rsidRPr="00A0309F" w:rsidRDefault="00A0309F" w:rsidP="00A0309F">
      <w:pPr>
        <w:pStyle w:val="FootnoteText"/>
        <w:ind w:firstLine="0"/>
        <w:rPr>
          <w:sz w:val="18"/>
          <w:szCs w:val="18"/>
        </w:rPr>
      </w:pPr>
    </w:p>
  </w:footnote>
  <w:footnote w:id="169">
    <w:p w14:paraId="7758611D" w14:textId="26DAE8E3" w:rsidR="008817E5" w:rsidRPr="008971D9" w:rsidRDefault="008817E5" w:rsidP="00A0309F">
      <w:pPr>
        <w:pStyle w:val="FootnoteText"/>
        <w:ind w:firstLine="0"/>
        <w:rPr>
          <w:sz w:val="18"/>
          <w:szCs w:val="18"/>
        </w:rPr>
      </w:pPr>
      <w:r w:rsidRPr="008971D9">
        <w:rPr>
          <w:rStyle w:val="FootnoteReference"/>
          <w:sz w:val="18"/>
          <w:szCs w:val="18"/>
        </w:rPr>
        <w:footnoteRef/>
      </w:r>
      <w:r w:rsidRPr="008971D9">
        <w:rPr>
          <w:sz w:val="18"/>
          <w:szCs w:val="18"/>
        </w:rPr>
        <w:t xml:space="preserve"> </w:t>
      </w:r>
      <w:r w:rsidRPr="008971D9">
        <w:rPr>
          <w:rFonts w:ascii="Times New Roman" w:hAnsi="Times New Roman"/>
          <w:sz w:val="18"/>
          <w:szCs w:val="18"/>
          <w:lang w:eastAsia="ko-KR"/>
        </w:rPr>
        <w:t>8 C.F.R. § 1003.1(h).</w:t>
      </w:r>
    </w:p>
  </w:footnote>
  <w:footnote w:id="170">
    <w:p w14:paraId="07FB0A3B" w14:textId="6DDFBB3E" w:rsidR="008E27F6" w:rsidRPr="008E27F6" w:rsidRDefault="008E27F6" w:rsidP="008E27F6">
      <w:pPr>
        <w:pStyle w:val="FootnoteText"/>
        <w:ind w:firstLine="0"/>
      </w:pPr>
      <w:r>
        <w:rPr>
          <w:rStyle w:val="FootnoteReference"/>
        </w:rPr>
        <w:footnoteRef/>
      </w:r>
      <w:r>
        <w:t xml:space="preserve"> Walker &amp; Wasserman, </w:t>
      </w:r>
      <w:r>
        <w:rPr>
          <w:i/>
          <w:iCs/>
        </w:rPr>
        <w:t>supra</w:t>
      </w:r>
      <w:r>
        <w:t xml:space="preserve"> note 1, at </w:t>
      </w:r>
      <w:r w:rsidR="00F66B07">
        <w:t>189.</w:t>
      </w:r>
    </w:p>
  </w:footnote>
  <w:footnote w:id="171">
    <w:p w14:paraId="14DF86FA" w14:textId="5B63081E" w:rsidR="0017411C" w:rsidRPr="008971D9" w:rsidRDefault="0017411C" w:rsidP="0017411C">
      <w:pPr>
        <w:pStyle w:val="NormalWeb"/>
        <w:rPr>
          <w:sz w:val="18"/>
          <w:szCs w:val="18"/>
        </w:rPr>
      </w:pPr>
      <w:r w:rsidRPr="008971D9">
        <w:rPr>
          <w:rStyle w:val="FootnoteReference"/>
          <w:sz w:val="18"/>
          <w:szCs w:val="18"/>
        </w:rPr>
        <w:footnoteRef/>
      </w:r>
      <w:r w:rsidRPr="008971D9">
        <w:rPr>
          <w:rFonts w:ascii="TimesNewRomanPSMT" w:hAnsi="TimesNewRomanPSMT"/>
          <w:sz w:val="18"/>
          <w:szCs w:val="18"/>
        </w:rPr>
        <w:t xml:space="preserve">Adjudicatory Re-regulation Proposals, 41 Fed. Reg. 14866 (Apr. 8, 1976). </w:t>
      </w:r>
    </w:p>
  </w:footnote>
  <w:footnote w:id="172">
    <w:p w14:paraId="3E8C0A7A" w14:textId="31E05E5D" w:rsidR="00B82024" w:rsidRPr="008971D9" w:rsidRDefault="00B82024" w:rsidP="003252E0">
      <w:pPr>
        <w:pStyle w:val="FootnoteText"/>
        <w:ind w:firstLine="0"/>
        <w:rPr>
          <w:rFonts w:ascii="Times New Roman" w:hAnsi="Times New Roman"/>
          <w:sz w:val="18"/>
          <w:szCs w:val="18"/>
        </w:rPr>
      </w:pPr>
      <w:r w:rsidRPr="008971D9">
        <w:rPr>
          <w:rStyle w:val="FootnoteReference"/>
          <w:rFonts w:ascii="Times New Roman" w:hAnsi="Times New Roman"/>
          <w:sz w:val="18"/>
          <w:szCs w:val="18"/>
        </w:rPr>
        <w:footnoteRef/>
      </w:r>
      <w:r w:rsidRPr="008971D9">
        <w:rPr>
          <w:rFonts w:ascii="Times New Roman" w:hAnsi="Times New Roman"/>
          <w:sz w:val="18"/>
          <w:szCs w:val="18"/>
        </w:rPr>
        <w:t xml:space="preserve"> W</w:t>
      </w:r>
      <w:r w:rsidR="00351642" w:rsidRPr="008971D9">
        <w:rPr>
          <w:rFonts w:ascii="Times New Roman" w:hAnsi="Times New Roman"/>
          <w:sz w:val="18"/>
          <w:szCs w:val="18"/>
        </w:rPr>
        <w:t xml:space="preserve">alker &amp; Wasserman, </w:t>
      </w:r>
      <w:r w:rsidR="00351642" w:rsidRPr="008971D9">
        <w:rPr>
          <w:rFonts w:ascii="Times New Roman" w:hAnsi="Times New Roman"/>
          <w:i/>
          <w:iCs/>
          <w:sz w:val="18"/>
          <w:szCs w:val="18"/>
        </w:rPr>
        <w:t xml:space="preserve">supra </w:t>
      </w:r>
      <w:r w:rsidR="00351642" w:rsidRPr="008971D9">
        <w:rPr>
          <w:rFonts w:ascii="Times New Roman" w:hAnsi="Times New Roman"/>
          <w:sz w:val="18"/>
          <w:szCs w:val="18"/>
        </w:rPr>
        <w:t>note 1,  at</w:t>
      </w:r>
      <w:r w:rsidRPr="008971D9">
        <w:rPr>
          <w:rFonts w:ascii="Times New Roman" w:hAnsi="Times New Roman"/>
          <w:sz w:val="18"/>
          <w:szCs w:val="18"/>
        </w:rPr>
        <w:t xml:space="preserve"> 170</w:t>
      </w:r>
      <w:r w:rsidR="00351642" w:rsidRPr="008971D9">
        <w:rPr>
          <w:rFonts w:ascii="Times New Roman" w:hAnsi="Times New Roman"/>
          <w:sz w:val="18"/>
          <w:szCs w:val="18"/>
        </w:rPr>
        <w:t>.</w:t>
      </w:r>
    </w:p>
  </w:footnote>
  <w:footnote w:id="173">
    <w:p w14:paraId="1A52518A" w14:textId="35DB3460" w:rsidR="00B82024" w:rsidRPr="008971D9" w:rsidRDefault="00B82024" w:rsidP="00335807">
      <w:pPr>
        <w:pStyle w:val="NormalWeb"/>
        <w:rPr>
          <w:sz w:val="18"/>
          <w:szCs w:val="18"/>
        </w:rPr>
      </w:pPr>
      <w:r w:rsidRPr="008971D9">
        <w:rPr>
          <w:rStyle w:val="FootnoteReference"/>
          <w:sz w:val="18"/>
          <w:szCs w:val="18"/>
        </w:rPr>
        <w:footnoteRef/>
      </w:r>
      <w:r w:rsidRPr="008971D9">
        <w:rPr>
          <w:sz w:val="18"/>
          <w:szCs w:val="18"/>
        </w:rPr>
        <w:t xml:space="preserve"> 5 U.S.C. § 704 (2012) (“Agency action made reviewable by statute and final agency action for which there is no other adequate remedy in a court are subject to judicial review. A preliminary, procedural, or intermediate agency action or ruling not directly reviewable is subject to review on the review of the final agency action.”). </w:t>
      </w:r>
    </w:p>
  </w:footnote>
  <w:footnote w:id="174">
    <w:p w14:paraId="6C750D5C" w14:textId="4962B444" w:rsidR="00335807" w:rsidRPr="008971D9" w:rsidRDefault="00335807" w:rsidP="00335807">
      <w:pPr>
        <w:pStyle w:val="FootnoteText"/>
        <w:ind w:firstLine="0"/>
        <w:rPr>
          <w:sz w:val="18"/>
          <w:szCs w:val="18"/>
        </w:rPr>
      </w:pPr>
      <w:r w:rsidRPr="008971D9">
        <w:rPr>
          <w:rStyle w:val="FootnoteReference"/>
          <w:sz w:val="18"/>
          <w:szCs w:val="18"/>
        </w:rPr>
        <w:footnoteRef/>
      </w:r>
      <w:r w:rsidRPr="008971D9">
        <w:rPr>
          <w:sz w:val="18"/>
          <w:szCs w:val="18"/>
        </w:rPr>
        <w:t xml:space="preserve"> Wal</w:t>
      </w:r>
      <w:r w:rsidR="00351642" w:rsidRPr="008971D9">
        <w:rPr>
          <w:sz w:val="18"/>
          <w:szCs w:val="18"/>
        </w:rPr>
        <w:t xml:space="preserve">ker, supra note. </w:t>
      </w:r>
    </w:p>
    <w:p w14:paraId="39F40AF5" w14:textId="77777777" w:rsidR="00351642" w:rsidRPr="008971D9" w:rsidRDefault="00351642" w:rsidP="00335807">
      <w:pPr>
        <w:pStyle w:val="FootnoteText"/>
        <w:ind w:firstLine="0"/>
        <w:rPr>
          <w:sz w:val="18"/>
          <w:szCs w:val="18"/>
        </w:rPr>
      </w:pPr>
    </w:p>
  </w:footnote>
  <w:footnote w:id="175">
    <w:p w14:paraId="5B4B087E" w14:textId="6AAA6A7E" w:rsidR="00335807" w:rsidRPr="008971D9" w:rsidRDefault="00335807" w:rsidP="00351642">
      <w:pPr>
        <w:pStyle w:val="FootnoteText"/>
        <w:ind w:firstLine="0"/>
        <w:rPr>
          <w:i/>
          <w:iCs/>
          <w:sz w:val="18"/>
          <w:szCs w:val="18"/>
        </w:rPr>
      </w:pPr>
      <w:r w:rsidRPr="008971D9">
        <w:rPr>
          <w:rStyle w:val="FootnoteReference"/>
          <w:sz w:val="18"/>
          <w:szCs w:val="18"/>
        </w:rPr>
        <w:footnoteRef/>
      </w:r>
      <w:r w:rsidRPr="008971D9">
        <w:rPr>
          <w:sz w:val="18"/>
          <w:szCs w:val="18"/>
        </w:rPr>
        <w:t xml:space="preserve"> </w:t>
      </w:r>
      <w:r w:rsidRPr="008971D9">
        <w:rPr>
          <w:i/>
          <w:iCs/>
          <w:sz w:val="18"/>
          <w:szCs w:val="18"/>
        </w:rPr>
        <w:t>Id.</w:t>
      </w:r>
    </w:p>
    <w:p w14:paraId="26C46327" w14:textId="77777777" w:rsidR="00351642" w:rsidRPr="008971D9" w:rsidRDefault="00351642" w:rsidP="00351642">
      <w:pPr>
        <w:pStyle w:val="FootnoteText"/>
        <w:ind w:firstLine="0"/>
        <w:rPr>
          <w:i/>
          <w:iCs/>
          <w:sz w:val="18"/>
          <w:szCs w:val="18"/>
        </w:rPr>
      </w:pPr>
    </w:p>
  </w:footnote>
  <w:footnote w:id="176">
    <w:p w14:paraId="02E64FFE" w14:textId="79DE3D90" w:rsidR="00335807" w:rsidRPr="008971D9" w:rsidRDefault="00335807" w:rsidP="00351642">
      <w:pPr>
        <w:pStyle w:val="FootnoteText"/>
        <w:ind w:firstLine="0"/>
        <w:rPr>
          <w:i/>
          <w:iCs/>
          <w:sz w:val="18"/>
          <w:szCs w:val="18"/>
        </w:rPr>
      </w:pPr>
      <w:r w:rsidRPr="008971D9">
        <w:rPr>
          <w:rStyle w:val="FootnoteReference"/>
          <w:sz w:val="18"/>
          <w:szCs w:val="18"/>
        </w:rPr>
        <w:footnoteRef/>
      </w:r>
      <w:r w:rsidRPr="008971D9">
        <w:rPr>
          <w:sz w:val="18"/>
          <w:szCs w:val="18"/>
        </w:rPr>
        <w:t xml:space="preserve"> </w:t>
      </w:r>
      <w:r w:rsidRPr="008971D9">
        <w:rPr>
          <w:i/>
          <w:iCs/>
          <w:sz w:val="18"/>
          <w:szCs w:val="18"/>
        </w:rPr>
        <w:t xml:space="preserve">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F0829" w14:textId="0A863951" w:rsidR="00D83731" w:rsidRPr="00CA354F" w:rsidRDefault="00D83731" w:rsidP="00DE478D">
    <w:pPr>
      <w:pStyle w:val="Header"/>
      <w:tabs>
        <w:tab w:val="clear" w:pos="4320"/>
        <w:tab w:val="clear" w:pos="8640"/>
        <w:tab w:val="center" w:pos="3672"/>
        <w:tab w:val="right" w:pos="7344"/>
      </w:tabs>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16F7"/>
    <w:multiLevelType w:val="multilevel"/>
    <w:tmpl w:val="8F2606BC"/>
    <w:lvl w:ilvl="0">
      <w:start w:val="20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6F5184"/>
    <w:multiLevelType w:val="hybridMultilevel"/>
    <w:tmpl w:val="B80E6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B2365"/>
    <w:multiLevelType w:val="multilevel"/>
    <w:tmpl w:val="29EE0E04"/>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196ED3"/>
    <w:multiLevelType w:val="hybridMultilevel"/>
    <w:tmpl w:val="7432210C"/>
    <w:lvl w:ilvl="0" w:tplc="1AF213B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7DA74B4"/>
    <w:multiLevelType w:val="hybridMultilevel"/>
    <w:tmpl w:val="CCDA3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7F10D8"/>
    <w:multiLevelType w:val="multilevel"/>
    <w:tmpl w:val="CBCE1C60"/>
    <w:lvl w:ilvl="0">
      <w:start w:val="1"/>
      <w:numFmt w:val="upperLetter"/>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A580AFE"/>
    <w:multiLevelType w:val="multilevel"/>
    <w:tmpl w:val="CE18F2F2"/>
    <w:lvl w:ilvl="0">
      <w:start w:val="10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3651A5"/>
    <w:multiLevelType w:val="hybridMultilevel"/>
    <w:tmpl w:val="3112023E"/>
    <w:lvl w:ilvl="0" w:tplc="E4A662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404CB1"/>
    <w:multiLevelType w:val="hybridMultilevel"/>
    <w:tmpl w:val="AB9AC87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9" w15:restartNumberingAfterBreak="0">
    <w:nsid w:val="16D93497"/>
    <w:multiLevelType w:val="multilevel"/>
    <w:tmpl w:val="E0B62A76"/>
    <w:lvl w:ilvl="0">
      <w:start w:val="1"/>
      <w:numFmt w:val="upperRoman"/>
      <w:lvlText w:val="%1."/>
      <w:lvlJc w:val="right"/>
      <w:pPr>
        <w:ind w:left="360" w:hanging="360"/>
      </w:pPr>
      <w:rPr>
        <w:rFonts w:hint="default"/>
      </w:rPr>
    </w:lvl>
    <w:lvl w:ilvl="1">
      <w:start w:val="1"/>
      <w:numFmt w:val="upperLetter"/>
      <w:suff w:val="nothing"/>
      <w:lvlText w:val="%2.  "/>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tabs>
          <w:tab w:val="num" w:pos="360"/>
        </w:tabs>
        <w:ind w:left="360" w:hanging="360"/>
      </w:pPr>
      <w:rPr>
        <w:rFonts w:hint="default"/>
      </w:rPr>
    </w:lvl>
    <w:lvl w:ilvl="3">
      <w:start w:val="1"/>
      <w:numFmt w:val="lowerLetter"/>
      <w:lvlText w:val="%4."/>
      <w:lvlJc w:val="left"/>
      <w:pPr>
        <w:tabs>
          <w:tab w:val="num" w:pos="360"/>
        </w:tabs>
        <w:ind w:left="360" w:hanging="360"/>
      </w:pPr>
      <w:rPr>
        <w:rFonts w:hint="default"/>
      </w:rPr>
    </w:lvl>
    <w:lvl w:ilvl="4">
      <w:start w:val="1"/>
      <w:numFmt w:val="lowerRoman"/>
      <w:lvlText w:val="%5."/>
      <w:lvlJc w:val="left"/>
      <w:pPr>
        <w:tabs>
          <w:tab w:val="num" w:pos="360"/>
        </w:tabs>
        <w:ind w:left="360" w:hanging="36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 w15:restartNumberingAfterBreak="0">
    <w:nsid w:val="17F25A61"/>
    <w:multiLevelType w:val="hybridMultilevel"/>
    <w:tmpl w:val="7AA0D068"/>
    <w:lvl w:ilvl="0" w:tplc="D7DA7C98">
      <w:start w:val="2"/>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348D2"/>
    <w:multiLevelType w:val="hybridMultilevel"/>
    <w:tmpl w:val="7B722F5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12577D"/>
    <w:multiLevelType w:val="multilevel"/>
    <w:tmpl w:val="DD92B882"/>
    <w:lvl w:ilvl="0">
      <w:start w:val="1"/>
      <w:numFmt w:val="upperLetter"/>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54220AA"/>
    <w:multiLevelType w:val="multilevel"/>
    <w:tmpl w:val="C8E240B2"/>
    <w:lvl w:ilvl="0">
      <w:start w:val="1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9A6845"/>
    <w:multiLevelType w:val="hybridMultilevel"/>
    <w:tmpl w:val="1EDA118C"/>
    <w:lvl w:ilvl="0" w:tplc="A754D6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23D7AFB"/>
    <w:multiLevelType w:val="hybridMultilevel"/>
    <w:tmpl w:val="86A2601C"/>
    <w:lvl w:ilvl="0" w:tplc="73AE7C06">
      <w:start w:val="2"/>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D17BF6"/>
    <w:multiLevelType w:val="multilevel"/>
    <w:tmpl w:val="4FA4A514"/>
    <w:lvl w:ilvl="0">
      <w:start w:val="1"/>
      <w:numFmt w:val="upperLetter"/>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E61538B"/>
    <w:multiLevelType w:val="hybridMultilevel"/>
    <w:tmpl w:val="699E3756"/>
    <w:lvl w:ilvl="0" w:tplc="4FD075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65F59"/>
    <w:multiLevelType w:val="multilevel"/>
    <w:tmpl w:val="43825E2A"/>
    <w:lvl w:ilvl="0">
      <w:start w:val="1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BA7873"/>
    <w:multiLevelType w:val="multilevel"/>
    <w:tmpl w:val="58FE9108"/>
    <w:lvl w:ilvl="0">
      <w:start w:val="1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DC7516"/>
    <w:multiLevelType w:val="hybridMultilevel"/>
    <w:tmpl w:val="3184DC9C"/>
    <w:lvl w:ilvl="0" w:tplc="E4A662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A630F4"/>
    <w:multiLevelType w:val="multilevel"/>
    <w:tmpl w:val="8F30AAB6"/>
    <w:lvl w:ilvl="0">
      <w:start w:val="1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585C0A"/>
    <w:multiLevelType w:val="multilevel"/>
    <w:tmpl w:val="61F4371C"/>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BE438F"/>
    <w:multiLevelType w:val="multilevel"/>
    <w:tmpl w:val="0F404BBA"/>
    <w:lvl w:ilvl="0">
      <w:start w:val="1"/>
      <w:numFmt w:val="upperRoman"/>
      <w:pStyle w:val="Heading1"/>
      <w:lvlText w:val="%1."/>
      <w:lvlJc w:val="right"/>
      <w:pPr>
        <w:ind w:left="360" w:hanging="360"/>
      </w:pPr>
      <w:rPr>
        <w:rFonts w:hint="default"/>
      </w:rPr>
    </w:lvl>
    <w:lvl w:ilvl="1">
      <w:start w:val="1"/>
      <w:numFmt w:val="upperLetter"/>
      <w:suff w:val="nothing"/>
      <w:lvlText w:val="%2.  "/>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3."/>
      <w:lvlJc w:val="left"/>
      <w:pPr>
        <w:tabs>
          <w:tab w:val="num" w:pos="360"/>
        </w:tabs>
        <w:ind w:left="360" w:hanging="360"/>
      </w:pPr>
      <w:rPr>
        <w:rFonts w:hint="default"/>
      </w:rPr>
    </w:lvl>
    <w:lvl w:ilvl="3">
      <w:start w:val="1"/>
      <w:numFmt w:val="lowerLetter"/>
      <w:pStyle w:val="Heading4"/>
      <w:lvlText w:val="%4."/>
      <w:lvlJc w:val="left"/>
      <w:pPr>
        <w:tabs>
          <w:tab w:val="num" w:pos="360"/>
        </w:tabs>
        <w:ind w:left="360" w:hanging="360"/>
      </w:pPr>
      <w:rPr>
        <w:rFonts w:hint="default"/>
      </w:rPr>
    </w:lvl>
    <w:lvl w:ilvl="4">
      <w:start w:val="1"/>
      <w:numFmt w:val="lowerRoman"/>
      <w:pStyle w:val="Heading5"/>
      <w:lvlText w:val="%5."/>
      <w:lvlJc w:val="left"/>
      <w:pPr>
        <w:tabs>
          <w:tab w:val="num" w:pos="360"/>
        </w:tabs>
        <w:ind w:left="360" w:hanging="36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24" w15:restartNumberingAfterBreak="0">
    <w:nsid w:val="43C63433"/>
    <w:multiLevelType w:val="hybridMultilevel"/>
    <w:tmpl w:val="79AC52A2"/>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5" w15:restartNumberingAfterBreak="0">
    <w:nsid w:val="48495834"/>
    <w:multiLevelType w:val="multilevel"/>
    <w:tmpl w:val="11A687E8"/>
    <w:styleLink w:val="Style2"/>
    <w:lvl w:ilvl="0">
      <w:start w:val="1"/>
      <w:numFmt w:val="bullet"/>
      <w:pStyle w:val="Bullet1"/>
      <w:lvlText w:val=""/>
      <w:lvlJc w:val="left"/>
      <w:pPr>
        <w:ind w:left="360" w:hanging="360"/>
      </w:pPr>
      <w:rPr>
        <w:rFonts w:ascii="Symbol" w:hAnsi="Symbol" w:hint="default"/>
        <w:sz w:val="16"/>
        <w:szCs w:val="16"/>
      </w:rPr>
    </w:lvl>
    <w:lvl w:ilvl="1">
      <w:start w:val="1"/>
      <w:numFmt w:val="bullet"/>
      <w:pStyle w:val="Bullet2"/>
      <w:lvlText w:val="o"/>
      <w:lvlJc w:val="left"/>
      <w:pPr>
        <w:ind w:left="1080" w:hanging="360"/>
      </w:pPr>
      <w:rPr>
        <w:rFonts w:ascii="Courier New" w:hAnsi="Courier New" w:hint="default"/>
      </w:rPr>
    </w:lvl>
    <w:lvl w:ilvl="2">
      <w:start w:val="1"/>
      <w:numFmt w:val="bullet"/>
      <w:pStyle w:val="Bullet3"/>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AD05E7F"/>
    <w:multiLevelType w:val="multilevel"/>
    <w:tmpl w:val="E29E44B8"/>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924EF5"/>
    <w:multiLevelType w:val="hybridMultilevel"/>
    <w:tmpl w:val="8F7CEB0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D73400"/>
    <w:multiLevelType w:val="hybridMultilevel"/>
    <w:tmpl w:val="EAB4A28A"/>
    <w:lvl w:ilvl="0" w:tplc="1C0C5C88">
      <w:start w:val="1"/>
      <w:numFmt w:val="upperLetter"/>
      <w:pStyle w:val="Heading2"/>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15:restartNumberingAfterBreak="0">
    <w:nsid w:val="51846CE9"/>
    <w:multiLevelType w:val="multilevel"/>
    <w:tmpl w:val="D6DA252A"/>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4754517"/>
    <w:multiLevelType w:val="hybridMultilevel"/>
    <w:tmpl w:val="2710FC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B5717E"/>
    <w:multiLevelType w:val="hybridMultilevel"/>
    <w:tmpl w:val="01CC6EBE"/>
    <w:lvl w:ilvl="0" w:tplc="0986D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B631BB4"/>
    <w:multiLevelType w:val="hybridMultilevel"/>
    <w:tmpl w:val="E08C11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D5D0500"/>
    <w:multiLevelType w:val="hybridMultilevel"/>
    <w:tmpl w:val="48F8C178"/>
    <w:lvl w:ilvl="0" w:tplc="E4A662E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7C3B6F"/>
    <w:multiLevelType w:val="multilevel"/>
    <w:tmpl w:val="88CA1A5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4F55A4E"/>
    <w:multiLevelType w:val="hybridMultilevel"/>
    <w:tmpl w:val="08DC43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9C60BD"/>
    <w:multiLevelType w:val="hybridMultilevel"/>
    <w:tmpl w:val="CAB03A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4F1F6C"/>
    <w:multiLevelType w:val="multilevel"/>
    <w:tmpl w:val="11A687E8"/>
    <w:numStyleLink w:val="Style2"/>
  </w:abstractNum>
  <w:abstractNum w:abstractNumId="38" w15:restartNumberingAfterBreak="0">
    <w:nsid w:val="72600AD6"/>
    <w:multiLevelType w:val="multilevel"/>
    <w:tmpl w:val="B832EF8E"/>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2E72D2"/>
    <w:multiLevelType w:val="hybridMultilevel"/>
    <w:tmpl w:val="31A85632"/>
    <w:lvl w:ilvl="0" w:tplc="BC36132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D991F83"/>
    <w:multiLevelType w:val="hybridMultilevel"/>
    <w:tmpl w:val="4AF29CEA"/>
    <w:lvl w:ilvl="0" w:tplc="FFFFFFFF">
      <w:start w:val="1"/>
      <w:numFmt w:val="lowerLetter"/>
      <w:pStyle w:val="LetteredList"/>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710958107">
    <w:abstractNumId w:val="23"/>
  </w:num>
  <w:num w:numId="2" w16cid:durableId="818307217">
    <w:abstractNumId w:val="40"/>
  </w:num>
  <w:num w:numId="3" w16cid:durableId="18510497">
    <w:abstractNumId w:val="28"/>
  </w:num>
  <w:num w:numId="4" w16cid:durableId="1075711311">
    <w:abstractNumId w:val="25"/>
  </w:num>
  <w:num w:numId="5" w16cid:durableId="1524857580">
    <w:abstractNumId w:val="37"/>
  </w:num>
  <w:num w:numId="6" w16cid:durableId="854223689">
    <w:abstractNumId w:val="28"/>
    <w:lvlOverride w:ilvl="0">
      <w:startOverride w:val="1"/>
    </w:lvlOverride>
  </w:num>
  <w:num w:numId="7" w16cid:durableId="11223094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0410637">
    <w:abstractNumId w:val="36"/>
  </w:num>
  <w:num w:numId="9" w16cid:durableId="357005713">
    <w:abstractNumId w:val="28"/>
    <w:lvlOverride w:ilvl="0">
      <w:startOverride w:val="1"/>
    </w:lvlOverride>
  </w:num>
  <w:num w:numId="10" w16cid:durableId="1695229106">
    <w:abstractNumId w:val="28"/>
    <w:lvlOverride w:ilvl="0">
      <w:startOverride w:val="1"/>
    </w:lvlOverride>
  </w:num>
  <w:num w:numId="11" w16cid:durableId="1590113335">
    <w:abstractNumId w:val="1"/>
  </w:num>
  <w:num w:numId="12" w16cid:durableId="606472732">
    <w:abstractNumId w:val="5"/>
  </w:num>
  <w:num w:numId="13" w16cid:durableId="2140876133">
    <w:abstractNumId w:val="28"/>
    <w:lvlOverride w:ilvl="0">
      <w:startOverride w:val="1"/>
    </w:lvlOverride>
  </w:num>
  <w:num w:numId="14" w16cid:durableId="370031683">
    <w:abstractNumId w:val="28"/>
    <w:lvlOverride w:ilvl="0">
      <w:startOverride w:val="2"/>
    </w:lvlOverride>
  </w:num>
  <w:num w:numId="15" w16cid:durableId="1810825877">
    <w:abstractNumId w:val="12"/>
  </w:num>
  <w:num w:numId="16" w16cid:durableId="1349257100">
    <w:abstractNumId w:val="28"/>
    <w:lvlOverride w:ilvl="0">
      <w:startOverride w:val="1"/>
    </w:lvlOverride>
  </w:num>
  <w:num w:numId="17" w16cid:durableId="482888450">
    <w:abstractNumId w:val="9"/>
  </w:num>
  <w:num w:numId="18" w16cid:durableId="17394804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05162525">
    <w:abstractNumId w:val="16"/>
  </w:num>
  <w:num w:numId="20" w16cid:durableId="291179573">
    <w:abstractNumId w:val="28"/>
    <w:lvlOverride w:ilvl="0">
      <w:startOverride w:val="1"/>
    </w:lvlOverride>
  </w:num>
  <w:num w:numId="21" w16cid:durableId="207189367">
    <w:abstractNumId w:val="11"/>
  </w:num>
  <w:num w:numId="22" w16cid:durableId="58597762">
    <w:abstractNumId w:val="7"/>
  </w:num>
  <w:num w:numId="23" w16cid:durableId="1275677306">
    <w:abstractNumId w:val="24"/>
  </w:num>
  <w:num w:numId="24" w16cid:durableId="213784173">
    <w:abstractNumId w:val="8"/>
  </w:num>
  <w:num w:numId="25" w16cid:durableId="2012022599">
    <w:abstractNumId w:val="32"/>
  </w:num>
  <w:num w:numId="26" w16cid:durableId="1127240275">
    <w:abstractNumId w:val="30"/>
  </w:num>
  <w:num w:numId="27" w16cid:durableId="1003237152">
    <w:abstractNumId w:val="10"/>
  </w:num>
  <w:num w:numId="28" w16cid:durableId="1592818230">
    <w:abstractNumId w:val="15"/>
  </w:num>
  <w:num w:numId="29" w16cid:durableId="764959415">
    <w:abstractNumId w:val="33"/>
  </w:num>
  <w:num w:numId="30" w16cid:durableId="2130584896">
    <w:abstractNumId w:val="20"/>
  </w:num>
  <w:num w:numId="31" w16cid:durableId="474297141">
    <w:abstractNumId w:val="6"/>
  </w:num>
  <w:num w:numId="32" w16cid:durableId="295648137">
    <w:abstractNumId w:val="34"/>
  </w:num>
  <w:num w:numId="33" w16cid:durableId="103960373">
    <w:abstractNumId w:val="29"/>
  </w:num>
  <w:num w:numId="34" w16cid:durableId="1459451712">
    <w:abstractNumId w:val="38"/>
  </w:num>
  <w:num w:numId="35" w16cid:durableId="862279845">
    <w:abstractNumId w:val="22"/>
  </w:num>
  <w:num w:numId="36" w16cid:durableId="1979336729">
    <w:abstractNumId w:val="26"/>
  </w:num>
  <w:num w:numId="37" w16cid:durableId="1735620515">
    <w:abstractNumId w:val="2"/>
  </w:num>
  <w:num w:numId="38" w16cid:durableId="1454440551">
    <w:abstractNumId w:val="21"/>
  </w:num>
  <w:num w:numId="39" w16cid:durableId="1590577346">
    <w:abstractNumId w:val="13"/>
  </w:num>
  <w:num w:numId="40" w16cid:durableId="1683506438">
    <w:abstractNumId w:val="19"/>
  </w:num>
  <w:num w:numId="41" w16cid:durableId="534805694">
    <w:abstractNumId w:val="18"/>
  </w:num>
  <w:num w:numId="42" w16cid:durableId="1123188084">
    <w:abstractNumId w:val="35"/>
  </w:num>
  <w:num w:numId="43" w16cid:durableId="1694116333">
    <w:abstractNumId w:val="0"/>
  </w:num>
  <w:num w:numId="44" w16cid:durableId="2513443">
    <w:abstractNumId w:val="27"/>
  </w:num>
  <w:num w:numId="45" w16cid:durableId="232469892">
    <w:abstractNumId w:val="3"/>
  </w:num>
  <w:num w:numId="46" w16cid:durableId="2131121017">
    <w:abstractNumId w:val="31"/>
  </w:num>
  <w:num w:numId="47" w16cid:durableId="1446726918">
    <w:abstractNumId w:val="39"/>
  </w:num>
  <w:num w:numId="48" w16cid:durableId="1302418639">
    <w:abstractNumId w:val="17"/>
  </w:num>
  <w:num w:numId="49" w16cid:durableId="54741243">
    <w:abstractNumId w:val="4"/>
  </w:num>
  <w:num w:numId="50" w16cid:durableId="2106224967">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hideGrammaticalErrors/>
  <w:activeWritingStyle w:appName="MSWord" w:lang="en-US"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994"/>
    <w:rsid w:val="0000009C"/>
    <w:rsid w:val="000002C8"/>
    <w:rsid w:val="000003B2"/>
    <w:rsid w:val="00000485"/>
    <w:rsid w:val="00000825"/>
    <w:rsid w:val="00001DA9"/>
    <w:rsid w:val="00001F32"/>
    <w:rsid w:val="000020AE"/>
    <w:rsid w:val="00002361"/>
    <w:rsid w:val="00002963"/>
    <w:rsid w:val="00002BC6"/>
    <w:rsid w:val="000030A9"/>
    <w:rsid w:val="000035AC"/>
    <w:rsid w:val="000035CD"/>
    <w:rsid w:val="00003C80"/>
    <w:rsid w:val="00003DE5"/>
    <w:rsid w:val="00003F71"/>
    <w:rsid w:val="00004673"/>
    <w:rsid w:val="0000474C"/>
    <w:rsid w:val="00004820"/>
    <w:rsid w:val="00004CF3"/>
    <w:rsid w:val="000052AF"/>
    <w:rsid w:val="00005A01"/>
    <w:rsid w:val="000061E4"/>
    <w:rsid w:val="000061F1"/>
    <w:rsid w:val="00006A72"/>
    <w:rsid w:val="00006F5C"/>
    <w:rsid w:val="00007251"/>
    <w:rsid w:val="0000731B"/>
    <w:rsid w:val="00007761"/>
    <w:rsid w:val="00007D4E"/>
    <w:rsid w:val="00007D8F"/>
    <w:rsid w:val="00007EBD"/>
    <w:rsid w:val="000104CC"/>
    <w:rsid w:val="000108A4"/>
    <w:rsid w:val="00010B10"/>
    <w:rsid w:val="00010EB6"/>
    <w:rsid w:val="000110A5"/>
    <w:rsid w:val="000115D4"/>
    <w:rsid w:val="00011C22"/>
    <w:rsid w:val="00012386"/>
    <w:rsid w:val="00012515"/>
    <w:rsid w:val="000127D1"/>
    <w:rsid w:val="0001346E"/>
    <w:rsid w:val="00013479"/>
    <w:rsid w:val="00013BA7"/>
    <w:rsid w:val="00013FB9"/>
    <w:rsid w:val="00015D3A"/>
    <w:rsid w:val="00015E28"/>
    <w:rsid w:val="00016758"/>
    <w:rsid w:val="00017084"/>
    <w:rsid w:val="00017104"/>
    <w:rsid w:val="000171EA"/>
    <w:rsid w:val="00017972"/>
    <w:rsid w:val="00017CB1"/>
    <w:rsid w:val="00017D0A"/>
    <w:rsid w:val="0002023C"/>
    <w:rsid w:val="00020B0C"/>
    <w:rsid w:val="00020CFA"/>
    <w:rsid w:val="000210EB"/>
    <w:rsid w:val="000211AB"/>
    <w:rsid w:val="000218CF"/>
    <w:rsid w:val="000218E1"/>
    <w:rsid w:val="00021FC3"/>
    <w:rsid w:val="000224B7"/>
    <w:rsid w:val="0002373A"/>
    <w:rsid w:val="00023EED"/>
    <w:rsid w:val="0002403F"/>
    <w:rsid w:val="00024324"/>
    <w:rsid w:val="0002460C"/>
    <w:rsid w:val="00024819"/>
    <w:rsid w:val="00024BCF"/>
    <w:rsid w:val="0002565B"/>
    <w:rsid w:val="00025A80"/>
    <w:rsid w:val="00025DC1"/>
    <w:rsid w:val="00025E08"/>
    <w:rsid w:val="00025EFD"/>
    <w:rsid w:val="00025F75"/>
    <w:rsid w:val="000260C2"/>
    <w:rsid w:val="000261A4"/>
    <w:rsid w:val="00026233"/>
    <w:rsid w:val="000271BE"/>
    <w:rsid w:val="00027664"/>
    <w:rsid w:val="00027C88"/>
    <w:rsid w:val="00027EEA"/>
    <w:rsid w:val="00027F8A"/>
    <w:rsid w:val="00030CB4"/>
    <w:rsid w:val="00030FAD"/>
    <w:rsid w:val="0003108D"/>
    <w:rsid w:val="0003166D"/>
    <w:rsid w:val="00031998"/>
    <w:rsid w:val="00031A70"/>
    <w:rsid w:val="00031DE7"/>
    <w:rsid w:val="00032053"/>
    <w:rsid w:val="00032696"/>
    <w:rsid w:val="000326E4"/>
    <w:rsid w:val="00032D2F"/>
    <w:rsid w:val="0003346A"/>
    <w:rsid w:val="0003446B"/>
    <w:rsid w:val="000346FF"/>
    <w:rsid w:val="000349D3"/>
    <w:rsid w:val="00035B3A"/>
    <w:rsid w:val="00035FAF"/>
    <w:rsid w:val="00035FD4"/>
    <w:rsid w:val="000367B7"/>
    <w:rsid w:val="00036B08"/>
    <w:rsid w:val="00037A75"/>
    <w:rsid w:val="00037A9E"/>
    <w:rsid w:val="0004135C"/>
    <w:rsid w:val="00042227"/>
    <w:rsid w:val="0004223F"/>
    <w:rsid w:val="0004311C"/>
    <w:rsid w:val="0004312B"/>
    <w:rsid w:val="00043264"/>
    <w:rsid w:val="00043602"/>
    <w:rsid w:val="00043852"/>
    <w:rsid w:val="0004513A"/>
    <w:rsid w:val="00045A7A"/>
    <w:rsid w:val="00045F31"/>
    <w:rsid w:val="000462CA"/>
    <w:rsid w:val="00046528"/>
    <w:rsid w:val="00046FC3"/>
    <w:rsid w:val="0004721C"/>
    <w:rsid w:val="000473D2"/>
    <w:rsid w:val="000473FD"/>
    <w:rsid w:val="000478D2"/>
    <w:rsid w:val="00050086"/>
    <w:rsid w:val="00050DAE"/>
    <w:rsid w:val="000511D7"/>
    <w:rsid w:val="00051578"/>
    <w:rsid w:val="00051BD8"/>
    <w:rsid w:val="00053113"/>
    <w:rsid w:val="000535B5"/>
    <w:rsid w:val="00053718"/>
    <w:rsid w:val="0005398D"/>
    <w:rsid w:val="0005478C"/>
    <w:rsid w:val="0005683F"/>
    <w:rsid w:val="00056A09"/>
    <w:rsid w:val="000577E6"/>
    <w:rsid w:val="00060577"/>
    <w:rsid w:val="0006058A"/>
    <w:rsid w:val="000609EF"/>
    <w:rsid w:val="00060D72"/>
    <w:rsid w:val="000614FF"/>
    <w:rsid w:val="00061946"/>
    <w:rsid w:val="00061A0A"/>
    <w:rsid w:val="00062330"/>
    <w:rsid w:val="0006244E"/>
    <w:rsid w:val="0006245D"/>
    <w:rsid w:val="00062C1D"/>
    <w:rsid w:val="00062D2E"/>
    <w:rsid w:val="00063BD1"/>
    <w:rsid w:val="000645B1"/>
    <w:rsid w:val="000648B6"/>
    <w:rsid w:val="000649BB"/>
    <w:rsid w:val="00064CBF"/>
    <w:rsid w:val="0006520D"/>
    <w:rsid w:val="00065239"/>
    <w:rsid w:val="0006552B"/>
    <w:rsid w:val="0006577C"/>
    <w:rsid w:val="00065B00"/>
    <w:rsid w:val="00065DD1"/>
    <w:rsid w:val="000668E3"/>
    <w:rsid w:val="00066B6F"/>
    <w:rsid w:val="00066F72"/>
    <w:rsid w:val="000670AC"/>
    <w:rsid w:val="0006784B"/>
    <w:rsid w:val="00067B06"/>
    <w:rsid w:val="00067C1D"/>
    <w:rsid w:val="00071082"/>
    <w:rsid w:val="0007124A"/>
    <w:rsid w:val="0007128D"/>
    <w:rsid w:val="00071667"/>
    <w:rsid w:val="00072221"/>
    <w:rsid w:val="00072637"/>
    <w:rsid w:val="00072718"/>
    <w:rsid w:val="00072B47"/>
    <w:rsid w:val="00073080"/>
    <w:rsid w:val="00073D69"/>
    <w:rsid w:val="00073DBE"/>
    <w:rsid w:val="0007428C"/>
    <w:rsid w:val="00074719"/>
    <w:rsid w:val="0007479F"/>
    <w:rsid w:val="00074B1D"/>
    <w:rsid w:val="00074F59"/>
    <w:rsid w:val="0007557B"/>
    <w:rsid w:val="00075A07"/>
    <w:rsid w:val="00076278"/>
    <w:rsid w:val="000768C4"/>
    <w:rsid w:val="00076C05"/>
    <w:rsid w:val="00076D0B"/>
    <w:rsid w:val="00076F18"/>
    <w:rsid w:val="00077FF4"/>
    <w:rsid w:val="0008026D"/>
    <w:rsid w:val="000814DD"/>
    <w:rsid w:val="0008160A"/>
    <w:rsid w:val="00081E4A"/>
    <w:rsid w:val="00082831"/>
    <w:rsid w:val="00083018"/>
    <w:rsid w:val="000830FC"/>
    <w:rsid w:val="000831B2"/>
    <w:rsid w:val="00083446"/>
    <w:rsid w:val="000834E5"/>
    <w:rsid w:val="00083AC3"/>
    <w:rsid w:val="00084062"/>
    <w:rsid w:val="00084529"/>
    <w:rsid w:val="00084D4F"/>
    <w:rsid w:val="000857F7"/>
    <w:rsid w:val="00085D0B"/>
    <w:rsid w:val="00085D1B"/>
    <w:rsid w:val="00085D57"/>
    <w:rsid w:val="00085F44"/>
    <w:rsid w:val="00086387"/>
    <w:rsid w:val="000866FB"/>
    <w:rsid w:val="000868BA"/>
    <w:rsid w:val="000869BC"/>
    <w:rsid w:val="00086CB7"/>
    <w:rsid w:val="0008775F"/>
    <w:rsid w:val="00087A27"/>
    <w:rsid w:val="00087B42"/>
    <w:rsid w:val="00087F72"/>
    <w:rsid w:val="00090356"/>
    <w:rsid w:val="0009080A"/>
    <w:rsid w:val="00090D18"/>
    <w:rsid w:val="00090D68"/>
    <w:rsid w:val="00090D87"/>
    <w:rsid w:val="00090E35"/>
    <w:rsid w:val="00090F5F"/>
    <w:rsid w:val="0009132A"/>
    <w:rsid w:val="00091463"/>
    <w:rsid w:val="00091500"/>
    <w:rsid w:val="0009187A"/>
    <w:rsid w:val="0009205A"/>
    <w:rsid w:val="00092E0C"/>
    <w:rsid w:val="00092E21"/>
    <w:rsid w:val="00093876"/>
    <w:rsid w:val="00093D06"/>
    <w:rsid w:val="00093F28"/>
    <w:rsid w:val="0009492E"/>
    <w:rsid w:val="000949B4"/>
    <w:rsid w:val="00095332"/>
    <w:rsid w:val="00095372"/>
    <w:rsid w:val="000964AE"/>
    <w:rsid w:val="00096926"/>
    <w:rsid w:val="00096997"/>
    <w:rsid w:val="0009699B"/>
    <w:rsid w:val="000969FF"/>
    <w:rsid w:val="00096D3E"/>
    <w:rsid w:val="0009737E"/>
    <w:rsid w:val="0009761D"/>
    <w:rsid w:val="00097B1D"/>
    <w:rsid w:val="00097D81"/>
    <w:rsid w:val="00097E28"/>
    <w:rsid w:val="000A03EE"/>
    <w:rsid w:val="000A0FCE"/>
    <w:rsid w:val="000A17FB"/>
    <w:rsid w:val="000A1BD4"/>
    <w:rsid w:val="000A485A"/>
    <w:rsid w:val="000A4C6F"/>
    <w:rsid w:val="000A505B"/>
    <w:rsid w:val="000A57DC"/>
    <w:rsid w:val="000A5BCC"/>
    <w:rsid w:val="000A62CC"/>
    <w:rsid w:val="000A6354"/>
    <w:rsid w:val="000A663C"/>
    <w:rsid w:val="000A66CA"/>
    <w:rsid w:val="000A6887"/>
    <w:rsid w:val="000A6D6A"/>
    <w:rsid w:val="000A77FD"/>
    <w:rsid w:val="000B0300"/>
    <w:rsid w:val="000B0D09"/>
    <w:rsid w:val="000B1F3A"/>
    <w:rsid w:val="000B2020"/>
    <w:rsid w:val="000B21F6"/>
    <w:rsid w:val="000B322F"/>
    <w:rsid w:val="000B331C"/>
    <w:rsid w:val="000B3365"/>
    <w:rsid w:val="000B3498"/>
    <w:rsid w:val="000B45C6"/>
    <w:rsid w:val="000B46BE"/>
    <w:rsid w:val="000B4CC2"/>
    <w:rsid w:val="000B57D0"/>
    <w:rsid w:val="000B5BA2"/>
    <w:rsid w:val="000B5D1C"/>
    <w:rsid w:val="000B5F22"/>
    <w:rsid w:val="000B656A"/>
    <w:rsid w:val="000C037E"/>
    <w:rsid w:val="000C0A33"/>
    <w:rsid w:val="000C1545"/>
    <w:rsid w:val="000C159F"/>
    <w:rsid w:val="000C19DC"/>
    <w:rsid w:val="000C1C12"/>
    <w:rsid w:val="000C21D1"/>
    <w:rsid w:val="000C23E7"/>
    <w:rsid w:val="000C33AD"/>
    <w:rsid w:val="000C33F3"/>
    <w:rsid w:val="000C3694"/>
    <w:rsid w:val="000C386B"/>
    <w:rsid w:val="000C4153"/>
    <w:rsid w:val="000C421B"/>
    <w:rsid w:val="000C44C5"/>
    <w:rsid w:val="000C468D"/>
    <w:rsid w:val="000C52FC"/>
    <w:rsid w:val="000C54DD"/>
    <w:rsid w:val="000C5549"/>
    <w:rsid w:val="000C6D3F"/>
    <w:rsid w:val="000C7533"/>
    <w:rsid w:val="000C7B4B"/>
    <w:rsid w:val="000C7C26"/>
    <w:rsid w:val="000D003E"/>
    <w:rsid w:val="000D07EC"/>
    <w:rsid w:val="000D0C55"/>
    <w:rsid w:val="000D0CDB"/>
    <w:rsid w:val="000D160D"/>
    <w:rsid w:val="000D19F3"/>
    <w:rsid w:val="000D1E8A"/>
    <w:rsid w:val="000D2007"/>
    <w:rsid w:val="000D23CF"/>
    <w:rsid w:val="000D2830"/>
    <w:rsid w:val="000D292F"/>
    <w:rsid w:val="000D2F5E"/>
    <w:rsid w:val="000D31EC"/>
    <w:rsid w:val="000D34D2"/>
    <w:rsid w:val="000D356E"/>
    <w:rsid w:val="000D3625"/>
    <w:rsid w:val="000D3EF4"/>
    <w:rsid w:val="000D4003"/>
    <w:rsid w:val="000D4414"/>
    <w:rsid w:val="000D4920"/>
    <w:rsid w:val="000D4BA2"/>
    <w:rsid w:val="000D5F85"/>
    <w:rsid w:val="000D62A2"/>
    <w:rsid w:val="000D63ED"/>
    <w:rsid w:val="000D6AF1"/>
    <w:rsid w:val="000D6E19"/>
    <w:rsid w:val="000D70E7"/>
    <w:rsid w:val="000D7A3A"/>
    <w:rsid w:val="000E00CA"/>
    <w:rsid w:val="000E0191"/>
    <w:rsid w:val="000E0FF3"/>
    <w:rsid w:val="000E12EB"/>
    <w:rsid w:val="000E18C1"/>
    <w:rsid w:val="000E1987"/>
    <w:rsid w:val="000E1AD7"/>
    <w:rsid w:val="000E21A1"/>
    <w:rsid w:val="000E2544"/>
    <w:rsid w:val="000E28F0"/>
    <w:rsid w:val="000E2B6F"/>
    <w:rsid w:val="000E2ED3"/>
    <w:rsid w:val="000E3181"/>
    <w:rsid w:val="000E3357"/>
    <w:rsid w:val="000E3AAA"/>
    <w:rsid w:val="000E3C8C"/>
    <w:rsid w:val="000E49DE"/>
    <w:rsid w:val="000E4B8E"/>
    <w:rsid w:val="000E4DA9"/>
    <w:rsid w:val="000E5014"/>
    <w:rsid w:val="000E5A8F"/>
    <w:rsid w:val="000E5D0C"/>
    <w:rsid w:val="000E5DD9"/>
    <w:rsid w:val="000E660B"/>
    <w:rsid w:val="000E740B"/>
    <w:rsid w:val="000E758A"/>
    <w:rsid w:val="000E782A"/>
    <w:rsid w:val="000F0CB2"/>
    <w:rsid w:val="000F0CFA"/>
    <w:rsid w:val="000F10F6"/>
    <w:rsid w:val="000F10FC"/>
    <w:rsid w:val="000F22B3"/>
    <w:rsid w:val="000F2628"/>
    <w:rsid w:val="000F2734"/>
    <w:rsid w:val="000F2BEC"/>
    <w:rsid w:val="000F2E12"/>
    <w:rsid w:val="000F3277"/>
    <w:rsid w:val="000F33B4"/>
    <w:rsid w:val="000F3D8A"/>
    <w:rsid w:val="000F410C"/>
    <w:rsid w:val="000F50EB"/>
    <w:rsid w:val="000F575F"/>
    <w:rsid w:val="000F5A53"/>
    <w:rsid w:val="000F5BE4"/>
    <w:rsid w:val="000F6B31"/>
    <w:rsid w:val="000F7024"/>
    <w:rsid w:val="000F702F"/>
    <w:rsid w:val="000F7EDB"/>
    <w:rsid w:val="000F7EDD"/>
    <w:rsid w:val="001002F2"/>
    <w:rsid w:val="0010039A"/>
    <w:rsid w:val="00100FEE"/>
    <w:rsid w:val="00101093"/>
    <w:rsid w:val="00102B57"/>
    <w:rsid w:val="00102D31"/>
    <w:rsid w:val="001037E8"/>
    <w:rsid w:val="00104DAB"/>
    <w:rsid w:val="00104E58"/>
    <w:rsid w:val="001058BF"/>
    <w:rsid w:val="00105BBF"/>
    <w:rsid w:val="00105F22"/>
    <w:rsid w:val="00106021"/>
    <w:rsid w:val="0010611D"/>
    <w:rsid w:val="00106180"/>
    <w:rsid w:val="00106821"/>
    <w:rsid w:val="001069DA"/>
    <w:rsid w:val="00106AA5"/>
    <w:rsid w:val="001074B9"/>
    <w:rsid w:val="00107F83"/>
    <w:rsid w:val="0011046D"/>
    <w:rsid w:val="001108C2"/>
    <w:rsid w:val="001109DF"/>
    <w:rsid w:val="00110AFE"/>
    <w:rsid w:val="00110E62"/>
    <w:rsid w:val="00111833"/>
    <w:rsid w:val="001119C7"/>
    <w:rsid w:val="00111AD1"/>
    <w:rsid w:val="00112196"/>
    <w:rsid w:val="001121F7"/>
    <w:rsid w:val="00112370"/>
    <w:rsid w:val="00112A83"/>
    <w:rsid w:val="00112EE2"/>
    <w:rsid w:val="00113311"/>
    <w:rsid w:val="00113794"/>
    <w:rsid w:val="0011437B"/>
    <w:rsid w:val="00114430"/>
    <w:rsid w:val="001145DE"/>
    <w:rsid w:val="001146B3"/>
    <w:rsid w:val="00114B0E"/>
    <w:rsid w:val="00114B1D"/>
    <w:rsid w:val="0011558A"/>
    <w:rsid w:val="001157BF"/>
    <w:rsid w:val="00115856"/>
    <w:rsid w:val="00115BC7"/>
    <w:rsid w:val="00115F81"/>
    <w:rsid w:val="00116967"/>
    <w:rsid w:val="00116ACD"/>
    <w:rsid w:val="00117E3E"/>
    <w:rsid w:val="001203CA"/>
    <w:rsid w:val="00120820"/>
    <w:rsid w:val="00122131"/>
    <w:rsid w:val="001224E8"/>
    <w:rsid w:val="00122533"/>
    <w:rsid w:val="00122A48"/>
    <w:rsid w:val="00122C64"/>
    <w:rsid w:val="00122E82"/>
    <w:rsid w:val="0012339B"/>
    <w:rsid w:val="001234DE"/>
    <w:rsid w:val="00123BD9"/>
    <w:rsid w:val="00123E38"/>
    <w:rsid w:val="00124321"/>
    <w:rsid w:val="00124B5A"/>
    <w:rsid w:val="0012500E"/>
    <w:rsid w:val="001253C5"/>
    <w:rsid w:val="00125A52"/>
    <w:rsid w:val="00126A2E"/>
    <w:rsid w:val="001271E0"/>
    <w:rsid w:val="001276CF"/>
    <w:rsid w:val="00127DC4"/>
    <w:rsid w:val="001302EB"/>
    <w:rsid w:val="0013030B"/>
    <w:rsid w:val="00130494"/>
    <w:rsid w:val="001308C5"/>
    <w:rsid w:val="00130B25"/>
    <w:rsid w:val="0013212B"/>
    <w:rsid w:val="001322B7"/>
    <w:rsid w:val="00132F73"/>
    <w:rsid w:val="00133D95"/>
    <w:rsid w:val="001343F4"/>
    <w:rsid w:val="001344E7"/>
    <w:rsid w:val="00134C14"/>
    <w:rsid w:val="00135B5C"/>
    <w:rsid w:val="001366AC"/>
    <w:rsid w:val="00136888"/>
    <w:rsid w:val="001372EC"/>
    <w:rsid w:val="00137EAC"/>
    <w:rsid w:val="00140317"/>
    <w:rsid w:val="001417F1"/>
    <w:rsid w:val="001419FA"/>
    <w:rsid w:val="00142184"/>
    <w:rsid w:val="00142CB3"/>
    <w:rsid w:val="00143157"/>
    <w:rsid w:val="0014385F"/>
    <w:rsid w:val="00143C69"/>
    <w:rsid w:val="00143ED8"/>
    <w:rsid w:val="0014409F"/>
    <w:rsid w:val="00144510"/>
    <w:rsid w:val="00144D10"/>
    <w:rsid w:val="001451D4"/>
    <w:rsid w:val="00145862"/>
    <w:rsid w:val="00145CED"/>
    <w:rsid w:val="00145EAF"/>
    <w:rsid w:val="00145F69"/>
    <w:rsid w:val="00146085"/>
    <w:rsid w:val="0014672E"/>
    <w:rsid w:val="001467F0"/>
    <w:rsid w:val="00146DD3"/>
    <w:rsid w:val="00146F7E"/>
    <w:rsid w:val="00147A95"/>
    <w:rsid w:val="00147F46"/>
    <w:rsid w:val="001503B6"/>
    <w:rsid w:val="00151007"/>
    <w:rsid w:val="00151235"/>
    <w:rsid w:val="00151F2C"/>
    <w:rsid w:val="00151FD1"/>
    <w:rsid w:val="00152350"/>
    <w:rsid w:val="001523DF"/>
    <w:rsid w:val="00152443"/>
    <w:rsid w:val="00152777"/>
    <w:rsid w:val="001531DF"/>
    <w:rsid w:val="00153770"/>
    <w:rsid w:val="001537ED"/>
    <w:rsid w:val="001540B7"/>
    <w:rsid w:val="001547FF"/>
    <w:rsid w:val="00154BA8"/>
    <w:rsid w:val="00154C24"/>
    <w:rsid w:val="001552D9"/>
    <w:rsid w:val="00155EBB"/>
    <w:rsid w:val="0015633D"/>
    <w:rsid w:val="001568C4"/>
    <w:rsid w:val="00157E78"/>
    <w:rsid w:val="00160335"/>
    <w:rsid w:val="001604FD"/>
    <w:rsid w:val="00160F8D"/>
    <w:rsid w:val="001612EF"/>
    <w:rsid w:val="001625B8"/>
    <w:rsid w:val="001629E2"/>
    <w:rsid w:val="00163011"/>
    <w:rsid w:val="0016357A"/>
    <w:rsid w:val="00163EB3"/>
    <w:rsid w:val="00163FE7"/>
    <w:rsid w:val="00164547"/>
    <w:rsid w:val="00164D25"/>
    <w:rsid w:val="00165174"/>
    <w:rsid w:val="00165312"/>
    <w:rsid w:val="001653E8"/>
    <w:rsid w:val="00165F04"/>
    <w:rsid w:val="00166181"/>
    <w:rsid w:val="001661AA"/>
    <w:rsid w:val="00166F95"/>
    <w:rsid w:val="001677E2"/>
    <w:rsid w:val="00170239"/>
    <w:rsid w:val="00170340"/>
    <w:rsid w:val="00170403"/>
    <w:rsid w:val="00170717"/>
    <w:rsid w:val="00170869"/>
    <w:rsid w:val="001715E8"/>
    <w:rsid w:val="00172059"/>
    <w:rsid w:val="001722EA"/>
    <w:rsid w:val="00172462"/>
    <w:rsid w:val="0017277E"/>
    <w:rsid w:val="00172A62"/>
    <w:rsid w:val="00173171"/>
    <w:rsid w:val="00174085"/>
    <w:rsid w:val="0017411C"/>
    <w:rsid w:val="00174A9E"/>
    <w:rsid w:val="00174F3E"/>
    <w:rsid w:val="00175056"/>
    <w:rsid w:val="00175DD8"/>
    <w:rsid w:val="00176C56"/>
    <w:rsid w:val="00176CF9"/>
    <w:rsid w:val="00177043"/>
    <w:rsid w:val="0017729A"/>
    <w:rsid w:val="0017744D"/>
    <w:rsid w:val="0017798D"/>
    <w:rsid w:val="00177AE3"/>
    <w:rsid w:val="00177FAB"/>
    <w:rsid w:val="001807DF"/>
    <w:rsid w:val="00180AC1"/>
    <w:rsid w:val="00180AC5"/>
    <w:rsid w:val="001811B1"/>
    <w:rsid w:val="001815BC"/>
    <w:rsid w:val="0018178E"/>
    <w:rsid w:val="00181A2F"/>
    <w:rsid w:val="00181D03"/>
    <w:rsid w:val="00181E21"/>
    <w:rsid w:val="00182718"/>
    <w:rsid w:val="001827C9"/>
    <w:rsid w:val="00182ED1"/>
    <w:rsid w:val="001832CA"/>
    <w:rsid w:val="00183642"/>
    <w:rsid w:val="001839E1"/>
    <w:rsid w:val="00183ADB"/>
    <w:rsid w:val="00184929"/>
    <w:rsid w:val="00184BA1"/>
    <w:rsid w:val="001854AE"/>
    <w:rsid w:val="001857B5"/>
    <w:rsid w:val="00185AEC"/>
    <w:rsid w:val="00185FC1"/>
    <w:rsid w:val="001868E3"/>
    <w:rsid w:val="00186B3B"/>
    <w:rsid w:val="00186BDA"/>
    <w:rsid w:val="00187024"/>
    <w:rsid w:val="001903AC"/>
    <w:rsid w:val="0019067C"/>
    <w:rsid w:val="001908DF"/>
    <w:rsid w:val="00190CD9"/>
    <w:rsid w:val="00190F62"/>
    <w:rsid w:val="001910D1"/>
    <w:rsid w:val="001913B0"/>
    <w:rsid w:val="0019146D"/>
    <w:rsid w:val="00191539"/>
    <w:rsid w:val="00191B38"/>
    <w:rsid w:val="00191C8A"/>
    <w:rsid w:val="00191E8A"/>
    <w:rsid w:val="001924DA"/>
    <w:rsid w:val="001927CF"/>
    <w:rsid w:val="00192B22"/>
    <w:rsid w:val="00192FB1"/>
    <w:rsid w:val="00193529"/>
    <w:rsid w:val="0019481E"/>
    <w:rsid w:val="00194BC0"/>
    <w:rsid w:val="00195A9F"/>
    <w:rsid w:val="00195EF6"/>
    <w:rsid w:val="001960EA"/>
    <w:rsid w:val="00196632"/>
    <w:rsid w:val="0019685A"/>
    <w:rsid w:val="001971E7"/>
    <w:rsid w:val="00197BE8"/>
    <w:rsid w:val="001A07F6"/>
    <w:rsid w:val="001A0C50"/>
    <w:rsid w:val="001A11CA"/>
    <w:rsid w:val="001A319B"/>
    <w:rsid w:val="001A333D"/>
    <w:rsid w:val="001A33F8"/>
    <w:rsid w:val="001A3812"/>
    <w:rsid w:val="001A3CEF"/>
    <w:rsid w:val="001A420B"/>
    <w:rsid w:val="001A44C3"/>
    <w:rsid w:val="001A4811"/>
    <w:rsid w:val="001A51E8"/>
    <w:rsid w:val="001A5571"/>
    <w:rsid w:val="001A5EB2"/>
    <w:rsid w:val="001A60C9"/>
    <w:rsid w:val="001A615E"/>
    <w:rsid w:val="001A64CB"/>
    <w:rsid w:val="001A6506"/>
    <w:rsid w:val="001A7407"/>
    <w:rsid w:val="001B0202"/>
    <w:rsid w:val="001B0233"/>
    <w:rsid w:val="001B0D45"/>
    <w:rsid w:val="001B1283"/>
    <w:rsid w:val="001B12EA"/>
    <w:rsid w:val="001B193F"/>
    <w:rsid w:val="001B1B90"/>
    <w:rsid w:val="001B1E3C"/>
    <w:rsid w:val="001B2C66"/>
    <w:rsid w:val="001B2DAA"/>
    <w:rsid w:val="001B3150"/>
    <w:rsid w:val="001B32FB"/>
    <w:rsid w:val="001B35C6"/>
    <w:rsid w:val="001B3D71"/>
    <w:rsid w:val="001B4B5D"/>
    <w:rsid w:val="001B4CB4"/>
    <w:rsid w:val="001B584A"/>
    <w:rsid w:val="001B598B"/>
    <w:rsid w:val="001B60F0"/>
    <w:rsid w:val="001B6433"/>
    <w:rsid w:val="001B6700"/>
    <w:rsid w:val="001B6BF8"/>
    <w:rsid w:val="001B709B"/>
    <w:rsid w:val="001B7650"/>
    <w:rsid w:val="001B7A8C"/>
    <w:rsid w:val="001B7C52"/>
    <w:rsid w:val="001B7CF6"/>
    <w:rsid w:val="001C051A"/>
    <w:rsid w:val="001C054E"/>
    <w:rsid w:val="001C073E"/>
    <w:rsid w:val="001C09D3"/>
    <w:rsid w:val="001C0EF3"/>
    <w:rsid w:val="001C10E4"/>
    <w:rsid w:val="001C11F4"/>
    <w:rsid w:val="001C24D1"/>
    <w:rsid w:val="001C298A"/>
    <w:rsid w:val="001C33AE"/>
    <w:rsid w:val="001C34F1"/>
    <w:rsid w:val="001C3826"/>
    <w:rsid w:val="001C3B30"/>
    <w:rsid w:val="001C4420"/>
    <w:rsid w:val="001C4D82"/>
    <w:rsid w:val="001C4E2C"/>
    <w:rsid w:val="001C4FF5"/>
    <w:rsid w:val="001C505A"/>
    <w:rsid w:val="001C56AD"/>
    <w:rsid w:val="001C6B3D"/>
    <w:rsid w:val="001C6CD5"/>
    <w:rsid w:val="001C6FE6"/>
    <w:rsid w:val="001C7115"/>
    <w:rsid w:val="001C767E"/>
    <w:rsid w:val="001C77C7"/>
    <w:rsid w:val="001D04F0"/>
    <w:rsid w:val="001D0BCB"/>
    <w:rsid w:val="001D0F2F"/>
    <w:rsid w:val="001D117D"/>
    <w:rsid w:val="001D12F7"/>
    <w:rsid w:val="001D130F"/>
    <w:rsid w:val="001D17DB"/>
    <w:rsid w:val="001D29E6"/>
    <w:rsid w:val="001D2FC7"/>
    <w:rsid w:val="001D3343"/>
    <w:rsid w:val="001D336E"/>
    <w:rsid w:val="001D4B31"/>
    <w:rsid w:val="001D5291"/>
    <w:rsid w:val="001D53BC"/>
    <w:rsid w:val="001D53F6"/>
    <w:rsid w:val="001D596E"/>
    <w:rsid w:val="001D6909"/>
    <w:rsid w:val="001D6A65"/>
    <w:rsid w:val="001D6CDF"/>
    <w:rsid w:val="001D713D"/>
    <w:rsid w:val="001D7E39"/>
    <w:rsid w:val="001E02BA"/>
    <w:rsid w:val="001E0B4C"/>
    <w:rsid w:val="001E1207"/>
    <w:rsid w:val="001E175E"/>
    <w:rsid w:val="001E1EA2"/>
    <w:rsid w:val="001E1F36"/>
    <w:rsid w:val="001E3381"/>
    <w:rsid w:val="001E33D2"/>
    <w:rsid w:val="001E35AF"/>
    <w:rsid w:val="001E403B"/>
    <w:rsid w:val="001E46C8"/>
    <w:rsid w:val="001E47AE"/>
    <w:rsid w:val="001E4A4F"/>
    <w:rsid w:val="001E563A"/>
    <w:rsid w:val="001E574A"/>
    <w:rsid w:val="001E5961"/>
    <w:rsid w:val="001E64C4"/>
    <w:rsid w:val="001E670B"/>
    <w:rsid w:val="001E6B9D"/>
    <w:rsid w:val="001E6E34"/>
    <w:rsid w:val="001E7745"/>
    <w:rsid w:val="001E78F6"/>
    <w:rsid w:val="001E7DB2"/>
    <w:rsid w:val="001F01DA"/>
    <w:rsid w:val="001F03C9"/>
    <w:rsid w:val="001F0BF1"/>
    <w:rsid w:val="001F0DB0"/>
    <w:rsid w:val="001F18C6"/>
    <w:rsid w:val="001F2735"/>
    <w:rsid w:val="001F2CEC"/>
    <w:rsid w:val="001F2DA4"/>
    <w:rsid w:val="001F2FDB"/>
    <w:rsid w:val="001F3397"/>
    <w:rsid w:val="001F34ED"/>
    <w:rsid w:val="001F398B"/>
    <w:rsid w:val="001F3D5E"/>
    <w:rsid w:val="001F3E5A"/>
    <w:rsid w:val="001F4856"/>
    <w:rsid w:val="001F4ADB"/>
    <w:rsid w:val="001F5305"/>
    <w:rsid w:val="001F579D"/>
    <w:rsid w:val="001F6597"/>
    <w:rsid w:val="001F6BB0"/>
    <w:rsid w:val="001F6EC7"/>
    <w:rsid w:val="001F7780"/>
    <w:rsid w:val="00200305"/>
    <w:rsid w:val="002006B2"/>
    <w:rsid w:val="00200868"/>
    <w:rsid w:val="00200899"/>
    <w:rsid w:val="00200A8E"/>
    <w:rsid w:val="00201215"/>
    <w:rsid w:val="00201390"/>
    <w:rsid w:val="0020155D"/>
    <w:rsid w:val="00201E7D"/>
    <w:rsid w:val="00201F3D"/>
    <w:rsid w:val="00202148"/>
    <w:rsid w:val="00203447"/>
    <w:rsid w:val="00203750"/>
    <w:rsid w:val="00204490"/>
    <w:rsid w:val="00204492"/>
    <w:rsid w:val="0020473E"/>
    <w:rsid w:val="00205676"/>
    <w:rsid w:val="00205B7B"/>
    <w:rsid w:val="00205B7C"/>
    <w:rsid w:val="0020609E"/>
    <w:rsid w:val="0020650E"/>
    <w:rsid w:val="00206666"/>
    <w:rsid w:val="00206E52"/>
    <w:rsid w:val="00207067"/>
    <w:rsid w:val="00207131"/>
    <w:rsid w:val="0020715E"/>
    <w:rsid w:val="002077D4"/>
    <w:rsid w:val="0021036F"/>
    <w:rsid w:val="00210CC7"/>
    <w:rsid w:val="00210F3A"/>
    <w:rsid w:val="00210FA5"/>
    <w:rsid w:val="00210FD2"/>
    <w:rsid w:val="00210FEA"/>
    <w:rsid w:val="002113F6"/>
    <w:rsid w:val="0021165D"/>
    <w:rsid w:val="00211922"/>
    <w:rsid w:val="00211A70"/>
    <w:rsid w:val="00212088"/>
    <w:rsid w:val="002123BC"/>
    <w:rsid w:val="00212C46"/>
    <w:rsid w:val="00212D8C"/>
    <w:rsid w:val="0021333C"/>
    <w:rsid w:val="00213CB9"/>
    <w:rsid w:val="00214184"/>
    <w:rsid w:val="00214464"/>
    <w:rsid w:val="002146C1"/>
    <w:rsid w:val="00214717"/>
    <w:rsid w:val="00215470"/>
    <w:rsid w:val="00215807"/>
    <w:rsid w:val="00215A08"/>
    <w:rsid w:val="00215BC5"/>
    <w:rsid w:val="00216B95"/>
    <w:rsid w:val="00216BE9"/>
    <w:rsid w:val="00216E55"/>
    <w:rsid w:val="002172D8"/>
    <w:rsid w:val="0022008D"/>
    <w:rsid w:val="0022052F"/>
    <w:rsid w:val="002205CE"/>
    <w:rsid w:val="00220CEA"/>
    <w:rsid w:val="00220D7E"/>
    <w:rsid w:val="00220EAD"/>
    <w:rsid w:val="00221058"/>
    <w:rsid w:val="00221902"/>
    <w:rsid w:val="002234D9"/>
    <w:rsid w:val="002237C5"/>
    <w:rsid w:val="0022389F"/>
    <w:rsid w:val="00225421"/>
    <w:rsid w:val="0022555F"/>
    <w:rsid w:val="00225A93"/>
    <w:rsid w:val="00225E25"/>
    <w:rsid w:val="00225E96"/>
    <w:rsid w:val="00226202"/>
    <w:rsid w:val="0022636E"/>
    <w:rsid w:val="0022654E"/>
    <w:rsid w:val="0022678D"/>
    <w:rsid w:val="0022702B"/>
    <w:rsid w:val="00227069"/>
    <w:rsid w:val="0022711D"/>
    <w:rsid w:val="0023039A"/>
    <w:rsid w:val="0023081A"/>
    <w:rsid w:val="00230D85"/>
    <w:rsid w:val="00230DEF"/>
    <w:rsid w:val="00231138"/>
    <w:rsid w:val="002318B9"/>
    <w:rsid w:val="00231ADF"/>
    <w:rsid w:val="00231C2B"/>
    <w:rsid w:val="0023215E"/>
    <w:rsid w:val="002323BB"/>
    <w:rsid w:val="002328E7"/>
    <w:rsid w:val="00233466"/>
    <w:rsid w:val="002334D3"/>
    <w:rsid w:val="00233B65"/>
    <w:rsid w:val="002348D0"/>
    <w:rsid w:val="002357DE"/>
    <w:rsid w:val="0023658B"/>
    <w:rsid w:val="00236881"/>
    <w:rsid w:val="00237774"/>
    <w:rsid w:val="002409DC"/>
    <w:rsid w:val="00241207"/>
    <w:rsid w:val="00241255"/>
    <w:rsid w:val="0024153B"/>
    <w:rsid w:val="00242223"/>
    <w:rsid w:val="00242465"/>
    <w:rsid w:val="00242571"/>
    <w:rsid w:val="0024297A"/>
    <w:rsid w:val="002430F2"/>
    <w:rsid w:val="002435EF"/>
    <w:rsid w:val="002438D0"/>
    <w:rsid w:val="00244151"/>
    <w:rsid w:val="00244362"/>
    <w:rsid w:val="0024515B"/>
    <w:rsid w:val="0024576C"/>
    <w:rsid w:val="00246245"/>
    <w:rsid w:val="00246317"/>
    <w:rsid w:val="002501C9"/>
    <w:rsid w:val="00250A74"/>
    <w:rsid w:val="00250DCD"/>
    <w:rsid w:val="00250F61"/>
    <w:rsid w:val="00252421"/>
    <w:rsid w:val="00252724"/>
    <w:rsid w:val="0025296B"/>
    <w:rsid w:val="00252E98"/>
    <w:rsid w:val="002534B8"/>
    <w:rsid w:val="0025432D"/>
    <w:rsid w:val="00254DF8"/>
    <w:rsid w:val="002551AC"/>
    <w:rsid w:val="00255214"/>
    <w:rsid w:val="002558CA"/>
    <w:rsid w:val="002558FB"/>
    <w:rsid w:val="002564A5"/>
    <w:rsid w:val="00256539"/>
    <w:rsid w:val="00256D68"/>
    <w:rsid w:val="00257435"/>
    <w:rsid w:val="00257CD1"/>
    <w:rsid w:val="0026014E"/>
    <w:rsid w:val="00260433"/>
    <w:rsid w:val="002612EA"/>
    <w:rsid w:val="002614AE"/>
    <w:rsid w:val="00261934"/>
    <w:rsid w:val="00261B6F"/>
    <w:rsid w:val="00261CF5"/>
    <w:rsid w:val="002629E2"/>
    <w:rsid w:val="00262EC6"/>
    <w:rsid w:val="00263FCF"/>
    <w:rsid w:val="00264317"/>
    <w:rsid w:val="002644D7"/>
    <w:rsid w:val="00265218"/>
    <w:rsid w:val="002656B3"/>
    <w:rsid w:val="00265ADE"/>
    <w:rsid w:val="00266375"/>
    <w:rsid w:val="002663AE"/>
    <w:rsid w:val="00266C3E"/>
    <w:rsid w:val="00270025"/>
    <w:rsid w:val="0027016C"/>
    <w:rsid w:val="002702E1"/>
    <w:rsid w:val="00270587"/>
    <w:rsid w:val="00270688"/>
    <w:rsid w:val="002709B3"/>
    <w:rsid w:val="002715AB"/>
    <w:rsid w:val="00272733"/>
    <w:rsid w:val="0027320A"/>
    <w:rsid w:val="00273457"/>
    <w:rsid w:val="00273912"/>
    <w:rsid w:val="00273B22"/>
    <w:rsid w:val="00273CAC"/>
    <w:rsid w:val="00274384"/>
    <w:rsid w:val="002751CD"/>
    <w:rsid w:val="00275D49"/>
    <w:rsid w:val="00275DE3"/>
    <w:rsid w:val="00276545"/>
    <w:rsid w:val="0027674A"/>
    <w:rsid w:val="00276D56"/>
    <w:rsid w:val="00277337"/>
    <w:rsid w:val="00277DFB"/>
    <w:rsid w:val="00277F07"/>
    <w:rsid w:val="002803B5"/>
    <w:rsid w:val="00280564"/>
    <w:rsid w:val="002808AD"/>
    <w:rsid w:val="00280AF5"/>
    <w:rsid w:val="002814CC"/>
    <w:rsid w:val="00281905"/>
    <w:rsid w:val="00281DAF"/>
    <w:rsid w:val="002821B3"/>
    <w:rsid w:val="00282E52"/>
    <w:rsid w:val="002835B3"/>
    <w:rsid w:val="00284275"/>
    <w:rsid w:val="002842E5"/>
    <w:rsid w:val="00284D31"/>
    <w:rsid w:val="0028514C"/>
    <w:rsid w:val="002852F9"/>
    <w:rsid w:val="00285670"/>
    <w:rsid w:val="00285734"/>
    <w:rsid w:val="00285EE9"/>
    <w:rsid w:val="002875D2"/>
    <w:rsid w:val="00287873"/>
    <w:rsid w:val="00287AEC"/>
    <w:rsid w:val="00287D35"/>
    <w:rsid w:val="00287F88"/>
    <w:rsid w:val="0029014C"/>
    <w:rsid w:val="002909B0"/>
    <w:rsid w:val="002913F2"/>
    <w:rsid w:val="002916EA"/>
    <w:rsid w:val="00291939"/>
    <w:rsid w:val="00291D86"/>
    <w:rsid w:val="002920FC"/>
    <w:rsid w:val="002921BE"/>
    <w:rsid w:val="002925ED"/>
    <w:rsid w:val="002928CB"/>
    <w:rsid w:val="00292C6E"/>
    <w:rsid w:val="002933D5"/>
    <w:rsid w:val="002940CA"/>
    <w:rsid w:val="00294215"/>
    <w:rsid w:val="00294252"/>
    <w:rsid w:val="0029458C"/>
    <w:rsid w:val="00295513"/>
    <w:rsid w:val="0029592C"/>
    <w:rsid w:val="002964A6"/>
    <w:rsid w:val="00296743"/>
    <w:rsid w:val="00296A72"/>
    <w:rsid w:val="00296CFB"/>
    <w:rsid w:val="00297488"/>
    <w:rsid w:val="00297B02"/>
    <w:rsid w:val="00297ED6"/>
    <w:rsid w:val="002A0703"/>
    <w:rsid w:val="002A0CD8"/>
    <w:rsid w:val="002A0E67"/>
    <w:rsid w:val="002A1808"/>
    <w:rsid w:val="002A1F22"/>
    <w:rsid w:val="002A1FD4"/>
    <w:rsid w:val="002A2D65"/>
    <w:rsid w:val="002A3941"/>
    <w:rsid w:val="002A3AD2"/>
    <w:rsid w:val="002A4445"/>
    <w:rsid w:val="002A4D09"/>
    <w:rsid w:val="002A4FB2"/>
    <w:rsid w:val="002A53C4"/>
    <w:rsid w:val="002A53F4"/>
    <w:rsid w:val="002A5A3E"/>
    <w:rsid w:val="002A5B73"/>
    <w:rsid w:val="002A5CE1"/>
    <w:rsid w:val="002A61F4"/>
    <w:rsid w:val="002A6A7C"/>
    <w:rsid w:val="002A6EC0"/>
    <w:rsid w:val="002A73B5"/>
    <w:rsid w:val="002A77B7"/>
    <w:rsid w:val="002A7F3E"/>
    <w:rsid w:val="002B0C69"/>
    <w:rsid w:val="002B0D0A"/>
    <w:rsid w:val="002B0F9E"/>
    <w:rsid w:val="002B10A3"/>
    <w:rsid w:val="002B10BB"/>
    <w:rsid w:val="002B1201"/>
    <w:rsid w:val="002B145F"/>
    <w:rsid w:val="002B1996"/>
    <w:rsid w:val="002B236A"/>
    <w:rsid w:val="002B249A"/>
    <w:rsid w:val="002B2662"/>
    <w:rsid w:val="002B2A35"/>
    <w:rsid w:val="002B3343"/>
    <w:rsid w:val="002B3618"/>
    <w:rsid w:val="002B4419"/>
    <w:rsid w:val="002B46C4"/>
    <w:rsid w:val="002B4C9D"/>
    <w:rsid w:val="002B4E21"/>
    <w:rsid w:val="002B5520"/>
    <w:rsid w:val="002B5829"/>
    <w:rsid w:val="002B5C85"/>
    <w:rsid w:val="002B71D9"/>
    <w:rsid w:val="002B72E2"/>
    <w:rsid w:val="002B7C88"/>
    <w:rsid w:val="002C01E6"/>
    <w:rsid w:val="002C02E1"/>
    <w:rsid w:val="002C0468"/>
    <w:rsid w:val="002C0691"/>
    <w:rsid w:val="002C1100"/>
    <w:rsid w:val="002C180A"/>
    <w:rsid w:val="002C222D"/>
    <w:rsid w:val="002C2394"/>
    <w:rsid w:val="002C242E"/>
    <w:rsid w:val="002C2FE9"/>
    <w:rsid w:val="002C3BA7"/>
    <w:rsid w:val="002C3FB6"/>
    <w:rsid w:val="002C403B"/>
    <w:rsid w:val="002C428F"/>
    <w:rsid w:val="002C4B6C"/>
    <w:rsid w:val="002C4FDB"/>
    <w:rsid w:val="002C5148"/>
    <w:rsid w:val="002C59D1"/>
    <w:rsid w:val="002C5C45"/>
    <w:rsid w:val="002C5D17"/>
    <w:rsid w:val="002C623D"/>
    <w:rsid w:val="002C66C5"/>
    <w:rsid w:val="002C6B5C"/>
    <w:rsid w:val="002C6B86"/>
    <w:rsid w:val="002D01C8"/>
    <w:rsid w:val="002D0332"/>
    <w:rsid w:val="002D09FE"/>
    <w:rsid w:val="002D0B58"/>
    <w:rsid w:val="002D0F47"/>
    <w:rsid w:val="002D15D1"/>
    <w:rsid w:val="002D23AE"/>
    <w:rsid w:val="002D24E5"/>
    <w:rsid w:val="002D25F3"/>
    <w:rsid w:val="002D2E1C"/>
    <w:rsid w:val="002D2FF6"/>
    <w:rsid w:val="002D32EF"/>
    <w:rsid w:val="002D4760"/>
    <w:rsid w:val="002D479C"/>
    <w:rsid w:val="002D4900"/>
    <w:rsid w:val="002D69A9"/>
    <w:rsid w:val="002D6BFA"/>
    <w:rsid w:val="002D6CEA"/>
    <w:rsid w:val="002D6F97"/>
    <w:rsid w:val="002D766A"/>
    <w:rsid w:val="002D7800"/>
    <w:rsid w:val="002D7887"/>
    <w:rsid w:val="002D7D28"/>
    <w:rsid w:val="002D7FFE"/>
    <w:rsid w:val="002E007C"/>
    <w:rsid w:val="002E0587"/>
    <w:rsid w:val="002E0B1F"/>
    <w:rsid w:val="002E0E5E"/>
    <w:rsid w:val="002E12AD"/>
    <w:rsid w:val="002E1BD7"/>
    <w:rsid w:val="002E1FC3"/>
    <w:rsid w:val="002E21F9"/>
    <w:rsid w:val="002E2BE9"/>
    <w:rsid w:val="002E2EB5"/>
    <w:rsid w:val="002E304C"/>
    <w:rsid w:val="002E3192"/>
    <w:rsid w:val="002E31AC"/>
    <w:rsid w:val="002E4A3B"/>
    <w:rsid w:val="002E4E31"/>
    <w:rsid w:val="002E504F"/>
    <w:rsid w:val="002E54AF"/>
    <w:rsid w:val="002E569E"/>
    <w:rsid w:val="002E5B8F"/>
    <w:rsid w:val="002E6523"/>
    <w:rsid w:val="002E6B4B"/>
    <w:rsid w:val="002E706F"/>
    <w:rsid w:val="002E7321"/>
    <w:rsid w:val="002E7CC5"/>
    <w:rsid w:val="002E7D8F"/>
    <w:rsid w:val="002F07A5"/>
    <w:rsid w:val="002F0C25"/>
    <w:rsid w:val="002F0FC1"/>
    <w:rsid w:val="002F104A"/>
    <w:rsid w:val="002F1D10"/>
    <w:rsid w:val="002F1F03"/>
    <w:rsid w:val="002F2355"/>
    <w:rsid w:val="002F2548"/>
    <w:rsid w:val="002F284F"/>
    <w:rsid w:val="002F2F53"/>
    <w:rsid w:val="002F3569"/>
    <w:rsid w:val="002F3E35"/>
    <w:rsid w:val="002F4782"/>
    <w:rsid w:val="002F5D41"/>
    <w:rsid w:val="002F5DAC"/>
    <w:rsid w:val="002F611F"/>
    <w:rsid w:val="002F6E7E"/>
    <w:rsid w:val="002F7559"/>
    <w:rsid w:val="002F7A55"/>
    <w:rsid w:val="002F7DE4"/>
    <w:rsid w:val="002F7E9A"/>
    <w:rsid w:val="0030106D"/>
    <w:rsid w:val="003011DB"/>
    <w:rsid w:val="003014C1"/>
    <w:rsid w:val="00301877"/>
    <w:rsid w:val="00301899"/>
    <w:rsid w:val="00301D06"/>
    <w:rsid w:val="00301D49"/>
    <w:rsid w:val="003025C1"/>
    <w:rsid w:val="00302954"/>
    <w:rsid w:val="00303109"/>
    <w:rsid w:val="0030341C"/>
    <w:rsid w:val="0030342C"/>
    <w:rsid w:val="00303576"/>
    <w:rsid w:val="0030392E"/>
    <w:rsid w:val="003044AC"/>
    <w:rsid w:val="0030468B"/>
    <w:rsid w:val="0030488A"/>
    <w:rsid w:val="00304902"/>
    <w:rsid w:val="00304E33"/>
    <w:rsid w:val="00304FC3"/>
    <w:rsid w:val="003054C2"/>
    <w:rsid w:val="00305627"/>
    <w:rsid w:val="00306092"/>
    <w:rsid w:val="00306485"/>
    <w:rsid w:val="0030692D"/>
    <w:rsid w:val="00306BFD"/>
    <w:rsid w:val="0030725B"/>
    <w:rsid w:val="0030744E"/>
    <w:rsid w:val="00307852"/>
    <w:rsid w:val="00307944"/>
    <w:rsid w:val="003100E0"/>
    <w:rsid w:val="00310229"/>
    <w:rsid w:val="00310C03"/>
    <w:rsid w:val="00311286"/>
    <w:rsid w:val="00311F23"/>
    <w:rsid w:val="00311F72"/>
    <w:rsid w:val="0031226B"/>
    <w:rsid w:val="00313386"/>
    <w:rsid w:val="00314097"/>
    <w:rsid w:val="003147ED"/>
    <w:rsid w:val="0031486E"/>
    <w:rsid w:val="003149AB"/>
    <w:rsid w:val="0031508B"/>
    <w:rsid w:val="0031532B"/>
    <w:rsid w:val="0031609D"/>
    <w:rsid w:val="003169DF"/>
    <w:rsid w:val="00316D11"/>
    <w:rsid w:val="003177FA"/>
    <w:rsid w:val="00317BF2"/>
    <w:rsid w:val="00317CBD"/>
    <w:rsid w:val="00317E50"/>
    <w:rsid w:val="00317ECF"/>
    <w:rsid w:val="00317FCD"/>
    <w:rsid w:val="00320077"/>
    <w:rsid w:val="003201F5"/>
    <w:rsid w:val="0032021C"/>
    <w:rsid w:val="003206E7"/>
    <w:rsid w:val="00320984"/>
    <w:rsid w:val="00320C68"/>
    <w:rsid w:val="003211EB"/>
    <w:rsid w:val="00321286"/>
    <w:rsid w:val="003214B8"/>
    <w:rsid w:val="003226D0"/>
    <w:rsid w:val="00322BA0"/>
    <w:rsid w:val="00322F61"/>
    <w:rsid w:val="00323000"/>
    <w:rsid w:val="0032322F"/>
    <w:rsid w:val="00323711"/>
    <w:rsid w:val="00323BEE"/>
    <w:rsid w:val="0032412E"/>
    <w:rsid w:val="003243F3"/>
    <w:rsid w:val="00324D8A"/>
    <w:rsid w:val="0032515D"/>
    <w:rsid w:val="003252E0"/>
    <w:rsid w:val="00325A09"/>
    <w:rsid w:val="00325B7B"/>
    <w:rsid w:val="00325BD7"/>
    <w:rsid w:val="00325F5F"/>
    <w:rsid w:val="0032693A"/>
    <w:rsid w:val="0032696A"/>
    <w:rsid w:val="00326AFA"/>
    <w:rsid w:val="0032738D"/>
    <w:rsid w:val="003275E0"/>
    <w:rsid w:val="00327803"/>
    <w:rsid w:val="00327F19"/>
    <w:rsid w:val="00330435"/>
    <w:rsid w:val="003305CC"/>
    <w:rsid w:val="00330AD6"/>
    <w:rsid w:val="00330B9C"/>
    <w:rsid w:val="00330F59"/>
    <w:rsid w:val="00330FC1"/>
    <w:rsid w:val="00331177"/>
    <w:rsid w:val="003315BF"/>
    <w:rsid w:val="003317BA"/>
    <w:rsid w:val="00331CAF"/>
    <w:rsid w:val="003320C8"/>
    <w:rsid w:val="0033226B"/>
    <w:rsid w:val="00332C95"/>
    <w:rsid w:val="00332FA8"/>
    <w:rsid w:val="003336F8"/>
    <w:rsid w:val="00333757"/>
    <w:rsid w:val="00334078"/>
    <w:rsid w:val="003346E6"/>
    <w:rsid w:val="00334CE9"/>
    <w:rsid w:val="00334E80"/>
    <w:rsid w:val="00335807"/>
    <w:rsid w:val="00335EC6"/>
    <w:rsid w:val="00336980"/>
    <w:rsid w:val="0033726C"/>
    <w:rsid w:val="00337449"/>
    <w:rsid w:val="0033766F"/>
    <w:rsid w:val="00337A3B"/>
    <w:rsid w:val="003400AE"/>
    <w:rsid w:val="00340759"/>
    <w:rsid w:val="00340A38"/>
    <w:rsid w:val="00340CF8"/>
    <w:rsid w:val="0034190B"/>
    <w:rsid w:val="00341E8A"/>
    <w:rsid w:val="003420C3"/>
    <w:rsid w:val="0034269C"/>
    <w:rsid w:val="00342828"/>
    <w:rsid w:val="00342E53"/>
    <w:rsid w:val="003430F4"/>
    <w:rsid w:val="00343147"/>
    <w:rsid w:val="00343759"/>
    <w:rsid w:val="003440C7"/>
    <w:rsid w:val="003442AD"/>
    <w:rsid w:val="00344A4E"/>
    <w:rsid w:val="0034578A"/>
    <w:rsid w:val="003460F5"/>
    <w:rsid w:val="00346634"/>
    <w:rsid w:val="00346988"/>
    <w:rsid w:val="00346D29"/>
    <w:rsid w:val="00347169"/>
    <w:rsid w:val="00347232"/>
    <w:rsid w:val="003474ED"/>
    <w:rsid w:val="00347BC4"/>
    <w:rsid w:val="003503FE"/>
    <w:rsid w:val="00351642"/>
    <w:rsid w:val="003526B3"/>
    <w:rsid w:val="00352ACA"/>
    <w:rsid w:val="00353184"/>
    <w:rsid w:val="0035338E"/>
    <w:rsid w:val="003538A0"/>
    <w:rsid w:val="00353A45"/>
    <w:rsid w:val="00353A4D"/>
    <w:rsid w:val="003541BC"/>
    <w:rsid w:val="00354550"/>
    <w:rsid w:val="00354A55"/>
    <w:rsid w:val="00355580"/>
    <w:rsid w:val="00355973"/>
    <w:rsid w:val="00355986"/>
    <w:rsid w:val="003559AF"/>
    <w:rsid w:val="00356175"/>
    <w:rsid w:val="003573AA"/>
    <w:rsid w:val="00357FC5"/>
    <w:rsid w:val="00360632"/>
    <w:rsid w:val="00360660"/>
    <w:rsid w:val="00360B4F"/>
    <w:rsid w:val="00360BB0"/>
    <w:rsid w:val="00361CC7"/>
    <w:rsid w:val="0036227F"/>
    <w:rsid w:val="003623AE"/>
    <w:rsid w:val="003628C3"/>
    <w:rsid w:val="00362CC8"/>
    <w:rsid w:val="00362DA4"/>
    <w:rsid w:val="003633AD"/>
    <w:rsid w:val="0036379A"/>
    <w:rsid w:val="003637D5"/>
    <w:rsid w:val="003638BD"/>
    <w:rsid w:val="00364433"/>
    <w:rsid w:val="00364F57"/>
    <w:rsid w:val="0036527C"/>
    <w:rsid w:val="003655F2"/>
    <w:rsid w:val="00365E34"/>
    <w:rsid w:val="003662B4"/>
    <w:rsid w:val="00366689"/>
    <w:rsid w:val="00366CAE"/>
    <w:rsid w:val="00366F98"/>
    <w:rsid w:val="00367014"/>
    <w:rsid w:val="00370A7A"/>
    <w:rsid w:val="003711ED"/>
    <w:rsid w:val="00372046"/>
    <w:rsid w:val="003724BB"/>
    <w:rsid w:val="00372756"/>
    <w:rsid w:val="003741C6"/>
    <w:rsid w:val="003745C4"/>
    <w:rsid w:val="00374656"/>
    <w:rsid w:val="00374D2B"/>
    <w:rsid w:val="00374F5F"/>
    <w:rsid w:val="00375081"/>
    <w:rsid w:val="00375929"/>
    <w:rsid w:val="00375A2C"/>
    <w:rsid w:val="00375CB0"/>
    <w:rsid w:val="00377081"/>
    <w:rsid w:val="0037729B"/>
    <w:rsid w:val="003772C8"/>
    <w:rsid w:val="0037735C"/>
    <w:rsid w:val="00377DF6"/>
    <w:rsid w:val="00377F77"/>
    <w:rsid w:val="00377FD8"/>
    <w:rsid w:val="00380215"/>
    <w:rsid w:val="00380400"/>
    <w:rsid w:val="0038040C"/>
    <w:rsid w:val="00380C26"/>
    <w:rsid w:val="00381BFB"/>
    <w:rsid w:val="00381FD6"/>
    <w:rsid w:val="0038234D"/>
    <w:rsid w:val="003825DD"/>
    <w:rsid w:val="00382DD8"/>
    <w:rsid w:val="00383AB6"/>
    <w:rsid w:val="0038451F"/>
    <w:rsid w:val="0038460D"/>
    <w:rsid w:val="00384975"/>
    <w:rsid w:val="00384E2D"/>
    <w:rsid w:val="00384F28"/>
    <w:rsid w:val="00384FE2"/>
    <w:rsid w:val="0038522A"/>
    <w:rsid w:val="00385372"/>
    <w:rsid w:val="00385F2A"/>
    <w:rsid w:val="003866E7"/>
    <w:rsid w:val="003867EA"/>
    <w:rsid w:val="0038725D"/>
    <w:rsid w:val="00387715"/>
    <w:rsid w:val="00387C5E"/>
    <w:rsid w:val="00387E03"/>
    <w:rsid w:val="003904EB"/>
    <w:rsid w:val="00390F77"/>
    <w:rsid w:val="00390F9A"/>
    <w:rsid w:val="0039146F"/>
    <w:rsid w:val="00391A83"/>
    <w:rsid w:val="00391CCB"/>
    <w:rsid w:val="00391FBB"/>
    <w:rsid w:val="00392050"/>
    <w:rsid w:val="003925B0"/>
    <w:rsid w:val="003926F9"/>
    <w:rsid w:val="0039311D"/>
    <w:rsid w:val="0039351E"/>
    <w:rsid w:val="00393E67"/>
    <w:rsid w:val="0039433A"/>
    <w:rsid w:val="00394E89"/>
    <w:rsid w:val="00395226"/>
    <w:rsid w:val="00395556"/>
    <w:rsid w:val="00395758"/>
    <w:rsid w:val="0039582D"/>
    <w:rsid w:val="003960F1"/>
    <w:rsid w:val="00396941"/>
    <w:rsid w:val="00396B29"/>
    <w:rsid w:val="00396DAB"/>
    <w:rsid w:val="003974F7"/>
    <w:rsid w:val="003A0806"/>
    <w:rsid w:val="003A0BC4"/>
    <w:rsid w:val="003A0ECE"/>
    <w:rsid w:val="003A0F27"/>
    <w:rsid w:val="003A1442"/>
    <w:rsid w:val="003A1B56"/>
    <w:rsid w:val="003A1E69"/>
    <w:rsid w:val="003A1FD3"/>
    <w:rsid w:val="003A2063"/>
    <w:rsid w:val="003A2751"/>
    <w:rsid w:val="003A2AC7"/>
    <w:rsid w:val="003A3258"/>
    <w:rsid w:val="003A334E"/>
    <w:rsid w:val="003A3A2B"/>
    <w:rsid w:val="003A3A9A"/>
    <w:rsid w:val="003A3B44"/>
    <w:rsid w:val="003A3C80"/>
    <w:rsid w:val="003A3D8F"/>
    <w:rsid w:val="003A3E96"/>
    <w:rsid w:val="003A404C"/>
    <w:rsid w:val="003A42CA"/>
    <w:rsid w:val="003A488B"/>
    <w:rsid w:val="003A49CC"/>
    <w:rsid w:val="003A4EA2"/>
    <w:rsid w:val="003A62C4"/>
    <w:rsid w:val="003A6750"/>
    <w:rsid w:val="003A6BED"/>
    <w:rsid w:val="003A6D93"/>
    <w:rsid w:val="003A7B66"/>
    <w:rsid w:val="003B02A1"/>
    <w:rsid w:val="003B084D"/>
    <w:rsid w:val="003B0BAA"/>
    <w:rsid w:val="003B12C6"/>
    <w:rsid w:val="003B1BB4"/>
    <w:rsid w:val="003B1DAF"/>
    <w:rsid w:val="003B26B6"/>
    <w:rsid w:val="003B2B9B"/>
    <w:rsid w:val="003B2BE6"/>
    <w:rsid w:val="003B2FF9"/>
    <w:rsid w:val="003B327F"/>
    <w:rsid w:val="003B34F5"/>
    <w:rsid w:val="003B365A"/>
    <w:rsid w:val="003B43F5"/>
    <w:rsid w:val="003B4BDE"/>
    <w:rsid w:val="003B54C6"/>
    <w:rsid w:val="003B5513"/>
    <w:rsid w:val="003B5750"/>
    <w:rsid w:val="003B60D3"/>
    <w:rsid w:val="003B6250"/>
    <w:rsid w:val="003B711B"/>
    <w:rsid w:val="003B71D9"/>
    <w:rsid w:val="003B71E5"/>
    <w:rsid w:val="003B78EB"/>
    <w:rsid w:val="003C0516"/>
    <w:rsid w:val="003C05C8"/>
    <w:rsid w:val="003C05EB"/>
    <w:rsid w:val="003C0836"/>
    <w:rsid w:val="003C0CB2"/>
    <w:rsid w:val="003C0EED"/>
    <w:rsid w:val="003C1216"/>
    <w:rsid w:val="003C12AD"/>
    <w:rsid w:val="003C18F0"/>
    <w:rsid w:val="003C1D19"/>
    <w:rsid w:val="003C2CE1"/>
    <w:rsid w:val="003C37D5"/>
    <w:rsid w:val="003C3C29"/>
    <w:rsid w:val="003C3E2C"/>
    <w:rsid w:val="003C3EF6"/>
    <w:rsid w:val="003C4085"/>
    <w:rsid w:val="003C4CB5"/>
    <w:rsid w:val="003C4D9D"/>
    <w:rsid w:val="003C4DE3"/>
    <w:rsid w:val="003C4E0B"/>
    <w:rsid w:val="003C5991"/>
    <w:rsid w:val="003C5FFE"/>
    <w:rsid w:val="003C6226"/>
    <w:rsid w:val="003C66C0"/>
    <w:rsid w:val="003C6784"/>
    <w:rsid w:val="003C6897"/>
    <w:rsid w:val="003C6903"/>
    <w:rsid w:val="003C69A7"/>
    <w:rsid w:val="003C7049"/>
    <w:rsid w:val="003C7AA0"/>
    <w:rsid w:val="003D034D"/>
    <w:rsid w:val="003D08E5"/>
    <w:rsid w:val="003D0BCB"/>
    <w:rsid w:val="003D1834"/>
    <w:rsid w:val="003D1A5D"/>
    <w:rsid w:val="003D1D81"/>
    <w:rsid w:val="003D1EA9"/>
    <w:rsid w:val="003D212A"/>
    <w:rsid w:val="003D23C4"/>
    <w:rsid w:val="003D2891"/>
    <w:rsid w:val="003D29CC"/>
    <w:rsid w:val="003D37CC"/>
    <w:rsid w:val="003D3CA4"/>
    <w:rsid w:val="003D3F82"/>
    <w:rsid w:val="003D4BB2"/>
    <w:rsid w:val="003D4D5B"/>
    <w:rsid w:val="003D4F3E"/>
    <w:rsid w:val="003D554E"/>
    <w:rsid w:val="003D592B"/>
    <w:rsid w:val="003D5F27"/>
    <w:rsid w:val="003D6603"/>
    <w:rsid w:val="003D6BE1"/>
    <w:rsid w:val="003D6DB7"/>
    <w:rsid w:val="003D7954"/>
    <w:rsid w:val="003D7AC1"/>
    <w:rsid w:val="003E019A"/>
    <w:rsid w:val="003E021A"/>
    <w:rsid w:val="003E02D7"/>
    <w:rsid w:val="003E0408"/>
    <w:rsid w:val="003E0799"/>
    <w:rsid w:val="003E08BA"/>
    <w:rsid w:val="003E0D8D"/>
    <w:rsid w:val="003E25FE"/>
    <w:rsid w:val="003E291D"/>
    <w:rsid w:val="003E2B3A"/>
    <w:rsid w:val="003E2B7D"/>
    <w:rsid w:val="003E313D"/>
    <w:rsid w:val="003E3828"/>
    <w:rsid w:val="003E3AA4"/>
    <w:rsid w:val="003E3CB0"/>
    <w:rsid w:val="003E3D0C"/>
    <w:rsid w:val="003E42BD"/>
    <w:rsid w:val="003E42C0"/>
    <w:rsid w:val="003E466D"/>
    <w:rsid w:val="003E4AB3"/>
    <w:rsid w:val="003E4B18"/>
    <w:rsid w:val="003E5696"/>
    <w:rsid w:val="003E5B2F"/>
    <w:rsid w:val="003E6BE8"/>
    <w:rsid w:val="003E6D44"/>
    <w:rsid w:val="003E7092"/>
    <w:rsid w:val="003E7393"/>
    <w:rsid w:val="003E75CC"/>
    <w:rsid w:val="003E77F5"/>
    <w:rsid w:val="003E7C29"/>
    <w:rsid w:val="003F0C40"/>
    <w:rsid w:val="003F0FE5"/>
    <w:rsid w:val="003F1A47"/>
    <w:rsid w:val="003F1EFA"/>
    <w:rsid w:val="003F1FE6"/>
    <w:rsid w:val="003F236A"/>
    <w:rsid w:val="003F26CB"/>
    <w:rsid w:val="003F27D6"/>
    <w:rsid w:val="003F2D2B"/>
    <w:rsid w:val="003F2FD4"/>
    <w:rsid w:val="003F31E9"/>
    <w:rsid w:val="003F3423"/>
    <w:rsid w:val="003F347B"/>
    <w:rsid w:val="003F3922"/>
    <w:rsid w:val="003F3B69"/>
    <w:rsid w:val="003F3C77"/>
    <w:rsid w:val="003F3DEE"/>
    <w:rsid w:val="003F3EE1"/>
    <w:rsid w:val="003F43C2"/>
    <w:rsid w:val="003F4965"/>
    <w:rsid w:val="003F4CB5"/>
    <w:rsid w:val="003F4DE4"/>
    <w:rsid w:val="003F4F7D"/>
    <w:rsid w:val="003F557C"/>
    <w:rsid w:val="003F562F"/>
    <w:rsid w:val="003F5D68"/>
    <w:rsid w:val="003F5F10"/>
    <w:rsid w:val="003F6952"/>
    <w:rsid w:val="003F695F"/>
    <w:rsid w:val="003F6EDE"/>
    <w:rsid w:val="003F70CA"/>
    <w:rsid w:val="003F71BE"/>
    <w:rsid w:val="003F779B"/>
    <w:rsid w:val="003F7A8C"/>
    <w:rsid w:val="003F7ADD"/>
    <w:rsid w:val="003F7C27"/>
    <w:rsid w:val="003F7E69"/>
    <w:rsid w:val="004006D0"/>
    <w:rsid w:val="00400DB0"/>
    <w:rsid w:val="00400FD5"/>
    <w:rsid w:val="004012D4"/>
    <w:rsid w:val="0040157A"/>
    <w:rsid w:val="00401801"/>
    <w:rsid w:val="00401DC7"/>
    <w:rsid w:val="00401E66"/>
    <w:rsid w:val="00403331"/>
    <w:rsid w:val="00403481"/>
    <w:rsid w:val="004035F6"/>
    <w:rsid w:val="00403E6D"/>
    <w:rsid w:val="00404119"/>
    <w:rsid w:val="00404169"/>
    <w:rsid w:val="00404519"/>
    <w:rsid w:val="0040480B"/>
    <w:rsid w:val="0040492A"/>
    <w:rsid w:val="004063FF"/>
    <w:rsid w:val="004066ED"/>
    <w:rsid w:val="004075C8"/>
    <w:rsid w:val="004076F0"/>
    <w:rsid w:val="00407729"/>
    <w:rsid w:val="0041009C"/>
    <w:rsid w:val="004114D5"/>
    <w:rsid w:val="00411B37"/>
    <w:rsid w:val="00412840"/>
    <w:rsid w:val="00413419"/>
    <w:rsid w:val="004136A6"/>
    <w:rsid w:val="00414B85"/>
    <w:rsid w:val="00414D4E"/>
    <w:rsid w:val="00415957"/>
    <w:rsid w:val="00416EF3"/>
    <w:rsid w:val="00420372"/>
    <w:rsid w:val="004206A4"/>
    <w:rsid w:val="004209D6"/>
    <w:rsid w:val="00420CC2"/>
    <w:rsid w:val="0042118C"/>
    <w:rsid w:val="004212A5"/>
    <w:rsid w:val="00421BD5"/>
    <w:rsid w:val="00422754"/>
    <w:rsid w:val="00422A2D"/>
    <w:rsid w:val="00422CF5"/>
    <w:rsid w:val="00423B0E"/>
    <w:rsid w:val="0042425F"/>
    <w:rsid w:val="0042472E"/>
    <w:rsid w:val="00424B52"/>
    <w:rsid w:val="00425A10"/>
    <w:rsid w:val="00425B66"/>
    <w:rsid w:val="0042683A"/>
    <w:rsid w:val="004268D2"/>
    <w:rsid w:val="00427087"/>
    <w:rsid w:val="00427271"/>
    <w:rsid w:val="004273DD"/>
    <w:rsid w:val="004279F6"/>
    <w:rsid w:val="00427A7B"/>
    <w:rsid w:val="00427CA6"/>
    <w:rsid w:val="004300F4"/>
    <w:rsid w:val="0043028F"/>
    <w:rsid w:val="0043046E"/>
    <w:rsid w:val="0043048B"/>
    <w:rsid w:val="0043092E"/>
    <w:rsid w:val="004309D3"/>
    <w:rsid w:val="0043112B"/>
    <w:rsid w:val="0043115E"/>
    <w:rsid w:val="0043159B"/>
    <w:rsid w:val="00431862"/>
    <w:rsid w:val="00431DF1"/>
    <w:rsid w:val="004321B7"/>
    <w:rsid w:val="00432277"/>
    <w:rsid w:val="004330B1"/>
    <w:rsid w:val="00433117"/>
    <w:rsid w:val="00433681"/>
    <w:rsid w:val="004338D2"/>
    <w:rsid w:val="004344C5"/>
    <w:rsid w:val="004347A2"/>
    <w:rsid w:val="00434F79"/>
    <w:rsid w:val="00435173"/>
    <w:rsid w:val="0043529E"/>
    <w:rsid w:val="00435649"/>
    <w:rsid w:val="00435ED7"/>
    <w:rsid w:val="0043625B"/>
    <w:rsid w:val="0043634F"/>
    <w:rsid w:val="0043654C"/>
    <w:rsid w:val="00436814"/>
    <w:rsid w:val="004369A3"/>
    <w:rsid w:val="00436D5C"/>
    <w:rsid w:val="00436D68"/>
    <w:rsid w:val="004374F9"/>
    <w:rsid w:val="00441374"/>
    <w:rsid w:val="00441731"/>
    <w:rsid w:val="00441D07"/>
    <w:rsid w:val="00441DBE"/>
    <w:rsid w:val="00442568"/>
    <w:rsid w:val="00442583"/>
    <w:rsid w:val="004426C7"/>
    <w:rsid w:val="00442871"/>
    <w:rsid w:val="00442A1A"/>
    <w:rsid w:val="00442F3F"/>
    <w:rsid w:val="00443822"/>
    <w:rsid w:val="0044434A"/>
    <w:rsid w:val="00444995"/>
    <w:rsid w:val="004451E7"/>
    <w:rsid w:val="004453E9"/>
    <w:rsid w:val="004454DD"/>
    <w:rsid w:val="004457DE"/>
    <w:rsid w:val="004459D1"/>
    <w:rsid w:val="00446036"/>
    <w:rsid w:val="00446242"/>
    <w:rsid w:val="00446405"/>
    <w:rsid w:val="0044655D"/>
    <w:rsid w:val="00446592"/>
    <w:rsid w:val="0044686A"/>
    <w:rsid w:val="004468ED"/>
    <w:rsid w:val="00446B0E"/>
    <w:rsid w:val="00447DD1"/>
    <w:rsid w:val="00450305"/>
    <w:rsid w:val="00450508"/>
    <w:rsid w:val="00450BDD"/>
    <w:rsid w:val="00450ED4"/>
    <w:rsid w:val="00450FF6"/>
    <w:rsid w:val="0045114C"/>
    <w:rsid w:val="0045134D"/>
    <w:rsid w:val="0045157E"/>
    <w:rsid w:val="0045162F"/>
    <w:rsid w:val="00451820"/>
    <w:rsid w:val="0045183A"/>
    <w:rsid w:val="004537B0"/>
    <w:rsid w:val="00453B8F"/>
    <w:rsid w:val="0045412B"/>
    <w:rsid w:val="00455D2D"/>
    <w:rsid w:val="004565C3"/>
    <w:rsid w:val="00456676"/>
    <w:rsid w:val="00456A2F"/>
    <w:rsid w:val="004576DE"/>
    <w:rsid w:val="00457989"/>
    <w:rsid w:val="00457D79"/>
    <w:rsid w:val="00457FAF"/>
    <w:rsid w:val="00457FF2"/>
    <w:rsid w:val="00460257"/>
    <w:rsid w:val="0046114B"/>
    <w:rsid w:val="00461450"/>
    <w:rsid w:val="004614F5"/>
    <w:rsid w:val="00461795"/>
    <w:rsid w:val="00462413"/>
    <w:rsid w:val="004629E7"/>
    <w:rsid w:val="00462A2E"/>
    <w:rsid w:val="004630BF"/>
    <w:rsid w:val="00463E18"/>
    <w:rsid w:val="00464205"/>
    <w:rsid w:val="0046476D"/>
    <w:rsid w:val="00465315"/>
    <w:rsid w:val="004660E4"/>
    <w:rsid w:val="004663F5"/>
    <w:rsid w:val="004665CA"/>
    <w:rsid w:val="004669EB"/>
    <w:rsid w:val="00466B11"/>
    <w:rsid w:val="004670D4"/>
    <w:rsid w:val="004673B3"/>
    <w:rsid w:val="00470197"/>
    <w:rsid w:val="004707AE"/>
    <w:rsid w:val="00470B44"/>
    <w:rsid w:val="00470FDA"/>
    <w:rsid w:val="00471568"/>
    <w:rsid w:val="00471E15"/>
    <w:rsid w:val="004722F8"/>
    <w:rsid w:val="004724FD"/>
    <w:rsid w:val="00472605"/>
    <w:rsid w:val="0047281C"/>
    <w:rsid w:val="004738E0"/>
    <w:rsid w:val="00473AB0"/>
    <w:rsid w:val="00473E3D"/>
    <w:rsid w:val="004749B2"/>
    <w:rsid w:val="00474BDF"/>
    <w:rsid w:val="00475AFD"/>
    <w:rsid w:val="00475EFF"/>
    <w:rsid w:val="00476255"/>
    <w:rsid w:val="00476481"/>
    <w:rsid w:val="00476E0B"/>
    <w:rsid w:val="00476E23"/>
    <w:rsid w:val="00477423"/>
    <w:rsid w:val="0047752E"/>
    <w:rsid w:val="00477C34"/>
    <w:rsid w:val="00477D75"/>
    <w:rsid w:val="00477DB5"/>
    <w:rsid w:val="00477DD1"/>
    <w:rsid w:val="004801E7"/>
    <w:rsid w:val="004809BB"/>
    <w:rsid w:val="0048106C"/>
    <w:rsid w:val="00481071"/>
    <w:rsid w:val="0048110A"/>
    <w:rsid w:val="0048154F"/>
    <w:rsid w:val="00482383"/>
    <w:rsid w:val="0048246B"/>
    <w:rsid w:val="004837E0"/>
    <w:rsid w:val="00483A01"/>
    <w:rsid w:val="00484893"/>
    <w:rsid w:val="00484E36"/>
    <w:rsid w:val="0048507B"/>
    <w:rsid w:val="004855DB"/>
    <w:rsid w:val="00485A95"/>
    <w:rsid w:val="00485E14"/>
    <w:rsid w:val="00485F4D"/>
    <w:rsid w:val="00487203"/>
    <w:rsid w:val="00487813"/>
    <w:rsid w:val="00490292"/>
    <w:rsid w:val="00490F3D"/>
    <w:rsid w:val="00491C28"/>
    <w:rsid w:val="00491E38"/>
    <w:rsid w:val="00491F53"/>
    <w:rsid w:val="004923C2"/>
    <w:rsid w:val="004933CD"/>
    <w:rsid w:val="004935DA"/>
    <w:rsid w:val="00493D55"/>
    <w:rsid w:val="00493F9C"/>
    <w:rsid w:val="004940E2"/>
    <w:rsid w:val="00494961"/>
    <w:rsid w:val="00494C41"/>
    <w:rsid w:val="00494CBF"/>
    <w:rsid w:val="00494F8A"/>
    <w:rsid w:val="00495978"/>
    <w:rsid w:val="00495D19"/>
    <w:rsid w:val="00496575"/>
    <w:rsid w:val="004967D8"/>
    <w:rsid w:val="0049682B"/>
    <w:rsid w:val="00496AFC"/>
    <w:rsid w:val="004972AF"/>
    <w:rsid w:val="004974BF"/>
    <w:rsid w:val="004976D6"/>
    <w:rsid w:val="00497EB5"/>
    <w:rsid w:val="004A0378"/>
    <w:rsid w:val="004A08C0"/>
    <w:rsid w:val="004A0BE7"/>
    <w:rsid w:val="004A0EA7"/>
    <w:rsid w:val="004A150C"/>
    <w:rsid w:val="004A1C83"/>
    <w:rsid w:val="004A24EE"/>
    <w:rsid w:val="004A2F12"/>
    <w:rsid w:val="004A3220"/>
    <w:rsid w:val="004A3243"/>
    <w:rsid w:val="004A39D7"/>
    <w:rsid w:val="004A3DEE"/>
    <w:rsid w:val="004A408D"/>
    <w:rsid w:val="004A41A0"/>
    <w:rsid w:val="004A5041"/>
    <w:rsid w:val="004A51E5"/>
    <w:rsid w:val="004A5E4A"/>
    <w:rsid w:val="004A611D"/>
    <w:rsid w:val="004A6F20"/>
    <w:rsid w:val="004A71D5"/>
    <w:rsid w:val="004A7787"/>
    <w:rsid w:val="004B0310"/>
    <w:rsid w:val="004B06A2"/>
    <w:rsid w:val="004B0C45"/>
    <w:rsid w:val="004B17B6"/>
    <w:rsid w:val="004B1974"/>
    <w:rsid w:val="004B1A83"/>
    <w:rsid w:val="004B1D61"/>
    <w:rsid w:val="004B206D"/>
    <w:rsid w:val="004B2F1E"/>
    <w:rsid w:val="004B2FA1"/>
    <w:rsid w:val="004B35DD"/>
    <w:rsid w:val="004B3F19"/>
    <w:rsid w:val="004B656E"/>
    <w:rsid w:val="004B76AD"/>
    <w:rsid w:val="004C0090"/>
    <w:rsid w:val="004C0E1D"/>
    <w:rsid w:val="004C13D6"/>
    <w:rsid w:val="004C151E"/>
    <w:rsid w:val="004C2AE6"/>
    <w:rsid w:val="004C34A8"/>
    <w:rsid w:val="004C3973"/>
    <w:rsid w:val="004C45EC"/>
    <w:rsid w:val="004C490E"/>
    <w:rsid w:val="004C5D3B"/>
    <w:rsid w:val="004C6B8A"/>
    <w:rsid w:val="004C6C65"/>
    <w:rsid w:val="004C6CF8"/>
    <w:rsid w:val="004C77AF"/>
    <w:rsid w:val="004C78CF"/>
    <w:rsid w:val="004C7D2D"/>
    <w:rsid w:val="004D02B2"/>
    <w:rsid w:val="004D0486"/>
    <w:rsid w:val="004D12DC"/>
    <w:rsid w:val="004D12F1"/>
    <w:rsid w:val="004D1504"/>
    <w:rsid w:val="004D15C7"/>
    <w:rsid w:val="004D1A23"/>
    <w:rsid w:val="004D1C8D"/>
    <w:rsid w:val="004D2235"/>
    <w:rsid w:val="004D2308"/>
    <w:rsid w:val="004D2311"/>
    <w:rsid w:val="004D278F"/>
    <w:rsid w:val="004D2DF3"/>
    <w:rsid w:val="004D3881"/>
    <w:rsid w:val="004D3FF6"/>
    <w:rsid w:val="004D45EE"/>
    <w:rsid w:val="004D48AB"/>
    <w:rsid w:val="004D4985"/>
    <w:rsid w:val="004D4A67"/>
    <w:rsid w:val="004D668C"/>
    <w:rsid w:val="004D6965"/>
    <w:rsid w:val="004D7242"/>
    <w:rsid w:val="004D7C87"/>
    <w:rsid w:val="004E0103"/>
    <w:rsid w:val="004E0479"/>
    <w:rsid w:val="004E04E4"/>
    <w:rsid w:val="004E0823"/>
    <w:rsid w:val="004E0AB3"/>
    <w:rsid w:val="004E149A"/>
    <w:rsid w:val="004E19C7"/>
    <w:rsid w:val="004E2112"/>
    <w:rsid w:val="004E2385"/>
    <w:rsid w:val="004E23DC"/>
    <w:rsid w:val="004E2918"/>
    <w:rsid w:val="004E3850"/>
    <w:rsid w:val="004E3F6B"/>
    <w:rsid w:val="004E40EF"/>
    <w:rsid w:val="004E4818"/>
    <w:rsid w:val="004E4A8B"/>
    <w:rsid w:val="004E4DDA"/>
    <w:rsid w:val="004E5213"/>
    <w:rsid w:val="004E539D"/>
    <w:rsid w:val="004E5457"/>
    <w:rsid w:val="004E5646"/>
    <w:rsid w:val="004E6541"/>
    <w:rsid w:val="004E65C2"/>
    <w:rsid w:val="004E65F4"/>
    <w:rsid w:val="004E6C81"/>
    <w:rsid w:val="004E7C6D"/>
    <w:rsid w:val="004E7E8C"/>
    <w:rsid w:val="004F06E8"/>
    <w:rsid w:val="004F09DE"/>
    <w:rsid w:val="004F2336"/>
    <w:rsid w:val="004F28C9"/>
    <w:rsid w:val="004F29C8"/>
    <w:rsid w:val="004F38A9"/>
    <w:rsid w:val="004F3FDD"/>
    <w:rsid w:val="004F51E1"/>
    <w:rsid w:val="004F576A"/>
    <w:rsid w:val="004F5AC8"/>
    <w:rsid w:val="004F5FD9"/>
    <w:rsid w:val="004F603C"/>
    <w:rsid w:val="004F6290"/>
    <w:rsid w:val="004F62D9"/>
    <w:rsid w:val="004F6FD4"/>
    <w:rsid w:val="004F7904"/>
    <w:rsid w:val="004F7E8B"/>
    <w:rsid w:val="00500DB8"/>
    <w:rsid w:val="0050101D"/>
    <w:rsid w:val="0050111F"/>
    <w:rsid w:val="00501F4D"/>
    <w:rsid w:val="00502C70"/>
    <w:rsid w:val="005031FB"/>
    <w:rsid w:val="005032BD"/>
    <w:rsid w:val="00503E24"/>
    <w:rsid w:val="00504175"/>
    <w:rsid w:val="0050465D"/>
    <w:rsid w:val="0050517B"/>
    <w:rsid w:val="0050562F"/>
    <w:rsid w:val="00505FB4"/>
    <w:rsid w:val="00506040"/>
    <w:rsid w:val="00506115"/>
    <w:rsid w:val="00506FFE"/>
    <w:rsid w:val="005073EE"/>
    <w:rsid w:val="00507888"/>
    <w:rsid w:val="00507FE2"/>
    <w:rsid w:val="005106B0"/>
    <w:rsid w:val="00510894"/>
    <w:rsid w:val="00510BA6"/>
    <w:rsid w:val="00510F43"/>
    <w:rsid w:val="0051123E"/>
    <w:rsid w:val="005116B0"/>
    <w:rsid w:val="00511C5E"/>
    <w:rsid w:val="00511CCE"/>
    <w:rsid w:val="00511E6F"/>
    <w:rsid w:val="00511EA9"/>
    <w:rsid w:val="00511ECF"/>
    <w:rsid w:val="00511F4C"/>
    <w:rsid w:val="00512869"/>
    <w:rsid w:val="00512B85"/>
    <w:rsid w:val="00512CDC"/>
    <w:rsid w:val="00512E6C"/>
    <w:rsid w:val="00513033"/>
    <w:rsid w:val="00513F4C"/>
    <w:rsid w:val="0051454A"/>
    <w:rsid w:val="00514835"/>
    <w:rsid w:val="00515D26"/>
    <w:rsid w:val="005163E2"/>
    <w:rsid w:val="0051691F"/>
    <w:rsid w:val="00516E66"/>
    <w:rsid w:val="00517173"/>
    <w:rsid w:val="0052097B"/>
    <w:rsid w:val="00520B88"/>
    <w:rsid w:val="005212B1"/>
    <w:rsid w:val="0052164E"/>
    <w:rsid w:val="0052179A"/>
    <w:rsid w:val="00522AEB"/>
    <w:rsid w:val="00523134"/>
    <w:rsid w:val="00523CA3"/>
    <w:rsid w:val="00523E1D"/>
    <w:rsid w:val="005245D0"/>
    <w:rsid w:val="0052494B"/>
    <w:rsid w:val="00524DC6"/>
    <w:rsid w:val="00524DFC"/>
    <w:rsid w:val="0052580C"/>
    <w:rsid w:val="00525DE6"/>
    <w:rsid w:val="005263ED"/>
    <w:rsid w:val="00526A8C"/>
    <w:rsid w:val="00526AB6"/>
    <w:rsid w:val="00526D5D"/>
    <w:rsid w:val="005272A0"/>
    <w:rsid w:val="00527471"/>
    <w:rsid w:val="005275C7"/>
    <w:rsid w:val="005276BA"/>
    <w:rsid w:val="005279EB"/>
    <w:rsid w:val="00527FA5"/>
    <w:rsid w:val="0053018D"/>
    <w:rsid w:val="005304BE"/>
    <w:rsid w:val="005306B5"/>
    <w:rsid w:val="00530BFE"/>
    <w:rsid w:val="005316E1"/>
    <w:rsid w:val="005316FA"/>
    <w:rsid w:val="00531ED8"/>
    <w:rsid w:val="00531F3E"/>
    <w:rsid w:val="00532208"/>
    <w:rsid w:val="0053280F"/>
    <w:rsid w:val="00532DE7"/>
    <w:rsid w:val="00532FF2"/>
    <w:rsid w:val="00533173"/>
    <w:rsid w:val="00533860"/>
    <w:rsid w:val="00533988"/>
    <w:rsid w:val="0053408F"/>
    <w:rsid w:val="005349C6"/>
    <w:rsid w:val="00534B28"/>
    <w:rsid w:val="00535163"/>
    <w:rsid w:val="00535636"/>
    <w:rsid w:val="005360A3"/>
    <w:rsid w:val="00536486"/>
    <w:rsid w:val="00536578"/>
    <w:rsid w:val="00536C38"/>
    <w:rsid w:val="0053710B"/>
    <w:rsid w:val="00540011"/>
    <w:rsid w:val="00540138"/>
    <w:rsid w:val="00540943"/>
    <w:rsid w:val="005409F7"/>
    <w:rsid w:val="00540C77"/>
    <w:rsid w:val="00540FAE"/>
    <w:rsid w:val="00540FF0"/>
    <w:rsid w:val="00541036"/>
    <w:rsid w:val="0054115B"/>
    <w:rsid w:val="00541D02"/>
    <w:rsid w:val="00541E88"/>
    <w:rsid w:val="00542082"/>
    <w:rsid w:val="0054236C"/>
    <w:rsid w:val="00542C03"/>
    <w:rsid w:val="00543373"/>
    <w:rsid w:val="0054390C"/>
    <w:rsid w:val="005443ED"/>
    <w:rsid w:val="00544A24"/>
    <w:rsid w:val="005459A6"/>
    <w:rsid w:val="00545C02"/>
    <w:rsid w:val="0054624B"/>
    <w:rsid w:val="00546734"/>
    <w:rsid w:val="00546A0B"/>
    <w:rsid w:val="00546F71"/>
    <w:rsid w:val="0054704B"/>
    <w:rsid w:val="00551813"/>
    <w:rsid w:val="00551DCD"/>
    <w:rsid w:val="00551E86"/>
    <w:rsid w:val="0055212C"/>
    <w:rsid w:val="005525E9"/>
    <w:rsid w:val="00552A57"/>
    <w:rsid w:val="00552D95"/>
    <w:rsid w:val="0055303B"/>
    <w:rsid w:val="005538B5"/>
    <w:rsid w:val="00553934"/>
    <w:rsid w:val="00553DD7"/>
    <w:rsid w:val="005541F5"/>
    <w:rsid w:val="00554479"/>
    <w:rsid w:val="005545E9"/>
    <w:rsid w:val="00554AAD"/>
    <w:rsid w:val="00554B83"/>
    <w:rsid w:val="00554F63"/>
    <w:rsid w:val="005550C9"/>
    <w:rsid w:val="00555358"/>
    <w:rsid w:val="00555401"/>
    <w:rsid w:val="005557B0"/>
    <w:rsid w:val="00555F52"/>
    <w:rsid w:val="005565E6"/>
    <w:rsid w:val="00556B51"/>
    <w:rsid w:val="00556C30"/>
    <w:rsid w:val="00557B4C"/>
    <w:rsid w:val="00557B60"/>
    <w:rsid w:val="00557F7B"/>
    <w:rsid w:val="00560C65"/>
    <w:rsid w:val="00560F29"/>
    <w:rsid w:val="00561FCF"/>
    <w:rsid w:val="005621C7"/>
    <w:rsid w:val="00562456"/>
    <w:rsid w:val="00562BE0"/>
    <w:rsid w:val="00562F8C"/>
    <w:rsid w:val="00564028"/>
    <w:rsid w:val="00565007"/>
    <w:rsid w:val="00565BF6"/>
    <w:rsid w:val="0056708B"/>
    <w:rsid w:val="00567550"/>
    <w:rsid w:val="0057030F"/>
    <w:rsid w:val="00570A9A"/>
    <w:rsid w:val="00571220"/>
    <w:rsid w:val="0057164B"/>
    <w:rsid w:val="005718B9"/>
    <w:rsid w:val="005722D6"/>
    <w:rsid w:val="0057242E"/>
    <w:rsid w:val="0057262A"/>
    <w:rsid w:val="00572790"/>
    <w:rsid w:val="0057325C"/>
    <w:rsid w:val="00573559"/>
    <w:rsid w:val="00573E68"/>
    <w:rsid w:val="0057404A"/>
    <w:rsid w:val="00574264"/>
    <w:rsid w:val="00574499"/>
    <w:rsid w:val="0057468F"/>
    <w:rsid w:val="00574730"/>
    <w:rsid w:val="0057480E"/>
    <w:rsid w:val="005752C5"/>
    <w:rsid w:val="00575388"/>
    <w:rsid w:val="00575FE2"/>
    <w:rsid w:val="005760F1"/>
    <w:rsid w:val="00576401"/>
    <w:rsid w:val="005765BD"/>
    <w:rsid w:val="00576B12"/>
    <w:rsid w:val="00576BFD"/>
    <w:rsid w:val="00576ECE"/>
    <w:rsid w:val="0057742C"/>
    <w:rsid w:val="00577666"/>
    <w:rsid w:val="00577C24"/>
    <w:rsid w:val="00580386"/>
    <w:rsid w:val="005804B4"/>
    <w:rsid w:val="00580E1A"/>
    <w:rsid w:val="00580EB3"/>
    <w:rsid w:val="005815A4"/>
    <w:rsid w:val="00581615"/>
    <w:rsid w:val="00581C10"/>
    <w:rsid w:val="00582443"/>
    <w:rsid w:val="00582A78"/>
    <w:rsid w:val="005831D2"/>
    <w:rsid w:val="00583C7A"/>
    <w:rsid w:val="00583F58"/>
    <w:rsid w:val="00584875"/>
    <w:rsid w:val="005849EF"/>
    <w:rsid w:val="005851F6"/>
    <w:rsid w:val="00585ADF"/>
    <w:rsid w:val="00585BC0"/>
    <w:rsid w:val="005860A6"/>
    <w:rsid w:val="005865CD"/>
    <w:rsid w:val="005865E6"/>
    <w:rsid w:val="00586DA4"/>
    <w:rsid w:val="00586EA0"/>
    <w:rsid w:val="005879C4"/>
    <w:rsid w:val="00590AD2"/>
    <w:rsid w:val="005910C6"/>
    <w:rsid w:val="0059194E"/>
    <w:rsid w:val="00591A4A"/>
    <w:rsid w:val="005929B3"/>
    <w:rsid w:val="00592CD5"/>
    <w:rsid w:val="005934FE"/>
    <w:rsid w:val="0059385F"/>
    <w:rsid w:val="00593892"/>
    <w:rsid w:val="0059394D"/>
    <w:rsid w:val="00593AE7"/>
    <w:rsid w:val="00593AF9"/>
    <w:rsid w:val="00593BFF"/>
    <w:rsid w:val="00594282"/>
    <w:rsid w:val="0059435C"/>
    <w:rsid w:val="0059444F"/>
    <w:rsid w:val="0059447D"/>
    <w:rsid w:val="00594673"/>
    <w:rsid w:val="00594A65"/>
    <w:rsid w:val="00594CE7"/>
    <w:rsid w:val="005953E7"/>
    <w:rsid w:val="005957FE"/>
    <w:rsid w:val="00595CDF"/>
    <w:rsid w:val="00595FFE"/>
    <w:rsid w:val="00596207"/>
    <w:rsid w:val="00596A87"/>
    <w:rsid w:val="00596A90"/>
    <w:rsid w:val="00596B81"/>
    <w:rsid w:val="00596BBD"/>
    <w:rsid w:val="00596E99"/>
    <w:rsid w:val="005972D2"/>
    <w:rsid w:val="00597334"/>
    <w:rsid w:val="00597B2A"/>
    <w:rsid w:val="00597D88"/>
    <w:rsid w:val="005A002A"/>
    <w:rsid w:val="005A017C"/>
    <w:rsid w:val="005A0286"/>
    <w:rsid w:val="005A052F"/>
    <w:rsid w:val="005A066C"/>
    <w:rsid w:val="005A0A8C"/>
    <w:rsid w:val="005A0AF2"/>
    <w:rsid w:val="005A0B91"/>
    <w:rsid w:val="005A0DDC"/>
    <w:rsid w:val="005A133D"/>
    <w:rsid w:val="005A1F8F"/>
    <w:rsid w:val="005A208E"/>
    <w:rsid w:val="005A25AF"/>
    <w:rsid w:val="005A2FBA"/>
    <w:rsid w:val="005A319E"/>
    <w:rsid w:val="005A378B"/>
    <w:rsid w:val="005A3EAB"/>
    <w:rsid w:val="005A4FBE"/>
    <w:rsid w:val="005A524C"/>
    <w:rsid w:val="005A5F08"/>
    <w:rsid w:val="005A6299"/>
    <w:rsid w:val="005A6458"/>
    <w:rsid w:val="005A7914"/>
    <w:rsid w:val="005A7CB6"/>
    <w:rsid w:val="005A7E16"/>
    <w:rsid w:val="005B0265"/>
    <w:rsid w:val="005B044D"/>
    <w:rsid w:val="005B099F"/>
    <w:rsid w:val="005B09A3"/>
    <w:rsid w:val="005B0D5C"/>
    <w:rsid w:val="005B10BE"/>
    <w:rsid w:val="005B11CA"/>
    <w:rsid w:val="005B12DC"/>
    <w:rsid w:val="005B1F9A"/>
    <w:rsid w:val="005B2338"/>
    <w:rsid w:val="005B37C1"/>
    <w:rsid w:val="005B3CAC"/>
    <w:rsid w:val="005B3DA2"/>
    <w:rsid w:val="005B47FC"/>
    <w:rsid w:val="005B4CA4"/>
    <w:rsid w:val="005B4DD1"/>
    <w:rsid w:val="005B5803"/>
    <w:rsid w:val="005B5847"/>
    <w:rsid w:val="005B585D"/>
    <w:rsid w:val="005B5C19"/>
    <w:rsid w:val="005B5DEF"/>
    <w:rsid w:val="005B6056"/>
    <w:rsid w:val="005B7223"/>
    <w:rsid w:val="005B74D3"/>
    <w:rsid w:val="005B7F84"/>
    <w:rsid w:val="005C0308"/>
    <w:rsid w:val="005C095E"/>
    <w:rsid w:val="005C0DBE"/>
    <w:rsid w:val="005C0E74"/>
    <w:rsid w:val="005C11A0"/>
    <w:rsid w:val="005C1228"/>
    <w:rsid w:val="005C12FB"/>
    <w:rsid w:val="005C1DF0"/>
    <w:rsid w:val="005C1F02"/>
    <w:rsid w:val="005C25C4"/>
    <w:rsid w:val="005C25E1"/>
    <w:rsid w:val="005C28F4"/>
    <w:rsid w:val="005C343A"/>
    <w:rsid w:val="005C3DB9"/>
    <w:rsid w:val="005C3DF0"/>
    <w:rsid w:val="005C6809"/>
    <w:rsid w:val="005C694F"/>
    <w:rsid w:val="005C6D82"/>
    <w:rsid w:val="005C6EC4"/>
    <w:rsid w:val="005C7763"/>
    <w:rsid w:val="005C7891"/>
    <w:rsid w:val="005C7C95"/>
    <w:rsid w:val="005C7D6C"/>
    <w:rsid w:val="005C7E0A"/>
    <w:rsid w:val="005D05A9"/>
    <w:rsid w:val="005D0773"/>
    <w:rsid w:val="005D0F30"/>
    <w:rsid w:val="005D14EF"/>
    <w:rsid w:val="005D1B0C"/>
    <w:rsid w:val="005D2365"/>
    <w:rsid w:val="005D2960"/>
    <w:rsid w:val="005D2E97"/>
    <w:rsid w:val="005D326A"/>
    <w:rsid w:val="005D34A5"/>
    <w:rsid w:val="005D37FD"/>
    <w:rsid w:val="005D5023"/>
    <w:rsid w:val="005D50DA"/>
    <w:rsid w:val="005D51D6"/>
    <w:rsid w:val="005D52F4"/>
    <w:rsid w:val="005D5CB0"/>
    <w:rsid w:val="005D6879"/>
    <w:rsid w:val="005D7C9D"/>
    <w:rsid w:val="005E0097"/>
    <w:rsid w:val="005E067F"/>
    <w:rsid w:val="005E0A44"/>
    <w:rsid w:val="005E0A6E"/>
    <w:rsid w:val="005E1557"/>
    <w:rsid w:val="005E171A"/>
    <w:rsid w:val="005E199F"/>
    <w:rsid w:val="005E1AF0"/>
    <w:rsid w:val="005E1C68"/>
    <w:rsid w:val="005E36E9"/>
    <w:rsid w:val="005E3B87"/>
    <w:rsid w:val="005E4B0F"/>
    <w:rsid w:val="005E4FEF"/>
    <w:rsid w:val="005E5057"/>
    <w:rsid w:val="005E54FD"/>
    <w:rsid w:val="005E6305"/>
    <w:rsid w:val="005E65B7"/>
    <w:rsid w:val="005E7058"/>
    <w:rsid w:val="005E73C3"/>
    <w:rsid w:val="005E7635"/>
    <w:rsid w:val="005E7ADD"/>
    <w:rsid w:val="005F056E"/>
    <w:rsid w:val="005F07E6"/>
    <w:rsid w:val="005F0CFF"/>
    <w:rsid w:val="005F119B"/>
    <w:rsid w:val="005F1AB9"/>
    <w:rsid w:val="005F1CC9"/>
    <w:rsid w:val="005F320D"/>
    <w:rsid w:val="005F35BA"/>
    <w:rsid w:val="005F39F9"/>
    <w:rsid w:val="005F3FF9"/>
    <w:rsid w:val="005F44B9"/>
    <w:rsid w:val="005F45B9"/>
    <w:rsid w:val="005F45FF"/>
    <w:rsid w:val="005F577E"/>
    <w:rsid w:val="005F59DC"/>
    <w:rsid w:val="005F6194"/>
    <w:rsid w:val="005F6292"/>
    <w:rsid w:val="005F6494"/>
    <w:rsid w:val="005F672E"/>
    <w:rsid w:val="005F727D"/>
    <w:rsid w:val="005F7EB4"/>
    <w:rsid w:val="00600138"/>
    <w:rsid w:val="00600E03"/>
    <w:rsid w:val="0060157D"/>
    <w:rsid w:val="006018EF"/>
    <w:rsid w:val="00603200"/>
    <w:rsid w:val="00603C8C"/>
    <w:rsid w:val="0060408A"/>
    <w:rsid w:val="00604451"/>
    <w:rsid w:val="00604475"/>
    <w:rsid w:val="006047DE"/>
    <w:rsid w:val="006057D6"/>
    <w:rsid w:val="00605CBC"/>
    <w:rsid w:val="00606054"/>
    <w:rsid w:val="00606562"/>
    <w:rsid w:val="00606947"/>
    <w:rsid w:val="00607487"/>
    <w:rsid w:val="00607526"/>
    <w:rsid w:val="00607B3A"/>
    <w:rsid w:val="00607D1C"/>
    <w:rsid w:val="006102E7"/>
    <w:rsid w:val="00610350"/>
    <w:rsid w:val="00610519"/>
    <w:rsid w:val="006115A2"/>
    <w:rsid w:val="00612CD2"/>
    <w:rsid w:val="00612F9B"/>
    <w:rsid w:val="0061384F"/>
    <w:rsid w:val="00613F3F"/>
    <w:rsid w:val="00614120"/>
    <w:rsid w:val="00614A2D"/>
    <w:rsid w:val="00614C3D"/>
    <w:rsid w:val="00614CB4"/>
    <w:rsid w:val="00614D21"/>
    <w:rsid w:val="006150CC"/>
    <w:rsid w:val="00615209"/>
    <w:rsid w:val="00615D2A"/>
    <w:rsid w:val="00615F24"/>
    <w:rsid w:val="006160F1"/>
    <w:rsid w:val="006161E9"/>
    <w:rsid w:val="0061654A"/>
    <w:rsid w:val="00616B0E"/>
    <w:rsid w:val="00616EAF"/>
    <w:rsid w:val="00616F2A"/>
    <w:rsid w:val="00616F9A"/>
    <w:rsid w:val="0061742E"/>
    <w:rsid w:val="006177DC"/>
    <w:rsid w:val="00617C74"/>
    <w:rsid w:val="006202BE"/>
    <w:rsid w:val="00620654"/>
    <w:rsid w:val="00621115"/>
    <w:rsid w:val="006211D6"/>
    <w:rsid w:val="006212C3"/>
    <w:rsid w:val="00621C57"/>
    <w:rsid w:val="00622EBC"/>
    <w:rsid w:val="00622F7B"/>
    <w:rsid w:val="0062324C"/>
    <w:rsid w:val="00623F11"/>
    <w:rsid w:val="00624200"/>
    <w:rsid w:val="00624328"/>
    <w:rsid w:val="006259FC"/>
    <w:rsid w:val="0062669F"/>
    <w:rsid w:val="006266DA"/>
    <w:rsid w:val="0062675A"/>
    <w:rsid w:val="00626A1C"/>
    <w:rsid w:val="0062723C"/>
    <w:rsid w:val="00627537"/>
    <w:rsid w:val="00627649"/>
    <w:rsid w:val="00627DC9"/>
    <w:rsid w:val="00627DE3"/>
    <w:rsid w:val="00627E74"/>
    <w:rsid w:val="00631036"/>
    <w:rsid w:val="00631122"/>
    <w:rsid w:val="00631174"/>
    <w:rsid w:val="006311AA"/>
    <w:rsid w:val="00631449"/>
    <w:rsid w:val="0063233B"/>
    <w:rsid w:val="006325F0"/>
    <w:rsid w:val="006329CC"/>
    <w:rsid w:val="00632B71"/>
    <w:rsid w:val="00633544"/>
    <w:rsid w:val="00633EEF"/>
    <w:rsid w:val="006340B8"/>
    <w:rsid w:val="0063431D"/>
    <w:rsid w:val="006345CC"/>
    <w:rsid w:val="00634B72"/>
    <w:rsid w:val="00634E86"/>
    <w:rsid w:val="006351D7"/>
    <w:rsid w:val="0063524A"/>
    <w:rsid w:val="00635DC1"/>
    <w:rsid w:val="006368AB"/>
    <w:rsid w:val="00636BD3"/>
    <w:rsid w:val="00636DD3"/>
    <w:rsid w:val="00636F00"/>
    <w:rsid w:val="006371FB"/>
    <w:rsid w:val="00637B57"/>
    <w:rsid w:val="00637D9A"/>
    <w:rsid w:val="00640151"/>
    <w:rsid w:val="00640656"/>
    <w:rsid w:val="006408FC"/>
    <w:rsid w:val="00640F15"/>
    <w:rsid w:val="00641339"/>
    <w:rsid w:val="006413E1"/>
    <w:rsid w:val="006415DE"/>
    <w:rsid w:val="00641787"/>
    <w:rsid w:val="00641D81"/>
    <w:rsid w:val="00641FC0"/>
    <w:rsid w:val="006421D9"/>
    <w:rsid w:val="00642429"/>
    <w:rsid w:val="006426E3"/>
    <w:rsid w:val="006426E6"/>
    <w:rsid w:val="00643464"/>
    <w:rsid w:val="006435A0"/>
    <w:rsid w:val="006439A5"/>
    <w:rsid w:val="00643B2B"/>
    <w:rsid w:val="00643D62"/>
    <w:rsid w:val="006442FD"/>
    <w:rsid w:val="006443C4"/>
    <w:rsid w:val="006452E1"/>
    <w:rsid w:val="006454CF"/>
    <w:rsid w:val="006455EE"/>
    <w:rsid w:val="00645A8E"/>
    <w:rsid w:val="006470FA"/>
    <w:rsid w:val="00647313"/>
    <w:rsid w:val="0065043D"/>
    <w:rsid w:val="00650871"/>
    <w:rsid w:val="006508A1"/>
    <w:rsid w:val="00650A50"/>
    <w:rsid w:val="00650D9D"/>
    <w:rsid w:val="006513DD"/>
    <w:rsid w:val="00651BCE"/>
    <w:rsid w:val="00651E64"/>
    <w:rsid w:val="00652100"/>
    <w:rsid w:val="006526B5"/>
    <w:rsid w:val="0065299C"/>
    <w:rsid w:val="00652AD0"/>
    <w:rsid w:val="00652DC5"/>
    <w:rsid w:val="0065329C"/>
    <w:rsid w:val="006533EF"/>
    <w:rsid w:val="006536CF"/>
    <w:rsid w:val="00653DB0"/>
    <w:rsid w:val="00653F20"/>
    <w:rsid w:val="00654898"/>
    <w:rsid w:val="006550E7"/>
    <w:rsid w:val="006551DA"/>
    <w:rsid w:val="00655746"/>
    <w:rsid w:val="00655DDA"/>
    <w:rsid w:val="00655F70"/>
    <w:rsid w:val="00655FBB"/>
    <w:rsid w:val="0065637A"/>
    <w:rsid w:val="006566B2"/>
    <w:rsid w:val="00656B32"/>
    <w:rsid w:val="00656D69"/>
    <w:rsid w:val="0065708C"/>
    <w:rsid w:val="006571E2"/>
    <w:rsid w:val="00660785"/>
    <w:rsid w:val="006608DC"/>
    <w:rsid w:val="0066136F"/>
    <w:rsid w:val="00661941"/>
    <w:rsid w:val="0066249C"/>
    <w:rsid w:val="006626D6"/>
    <w:rsid w:val="0066271F"/>
    <w:rsid w:val="006628A5"/>
    <w:rsid w:val="00662EA8"/>
    <w:rsid w:val="006632E0"/>
    <w:rsid w:val="00664896"/>
    <w:rsid w:val="006665EB"/>
    <w:rsid w:val="00666AAF"/>
    <w:rsid w:val="00666DE9"/>
    <w:rsid w:val="006670EA"/>
    <w:rsid w:val="00670569"/>
    <w:rsid w:val="00670A1D"/>
    <w:rsid w:val="00670F7C"/>
    <w:rsid w:val="006713B4"/>
    <w:rsid w:val="00671A4E"/>
    <w:rsid w:val="00671C44"/>
    <w:rsid w:val="00671F3E"/>
    <w:rsid w:val="00672418"/>
    <w:rsid w:val="00672790"/>
    <w:rsid w:val="00672823"/>
    <w:rsid w:val="00672BE8"/>
    <w:rsid w:val="00673601"/>
    <w:rsid w:val="006744B5"/>
    <w:rsid w:val="006745CF"/>
    <w:rsid w:val="006753D0"/>
    <w:rsid w:val="00675E00"/>
    <w:rsid w:val="00675E17"/>
    <w:rsid w:val="00676415"/>
    <w:rsid w:val="006765A4"/>
    <w:rsid w:val="0067675E"/>
    <w:rsid w:val="0067783B"/>
    <w:rsid w:val="00680B1A"/>
    <w:rsid w:val="006811B8"/>
    <w:rsid w:val="00681CCD"/>
    <w:rsid w:val="00681E5B"/>
    <w:rsid w:val="006820D5"/>
    <w:rsid w:val="00682850"/>
    <w:rsid w:val="00683638"/>
    <w:rsid w:val="00683CED"/>
    <w:rsid w:val="00683F8D"/>
    <w:rsid w:val="00684245"/>
    <w:rsid w:val="00684675"/>
    <w:rsid w:val="00684EDC"/>
    <w:rsid w:val="00684F16"/>
    <w:rsid w:val="00685506"/>
    <w:rsid w:val="0068593F"/>
    <w:rsid w:val="00685A32"/>
    <w:rsid w:val="00685B75"/>
    <w:rsid w:val="00686050"/>
    <w:rsid w:val="00686497"/>
    <w:rsid w:val="00686CDB"/>
    <w:rsid w:val="00687FE4"/>
    <w:rsid w:val="0069007F"/>
    <w:rsid w:val="00691103"/>
    <w:rsid w:val="006913CE"/>
    <w:rsid w:val="00691490"/>
    <w:rsid w:val="006917C9"/>
    <w:rsid w:val="00691974"/>
    <w:rsid w:val="00691A62"/>
    <w:rsid w:val="00691B3E"/>
    <w:rsid w:val="00692AB5"/>
    <w:rsid w:val="00692F3F"/>
    <w:rsid w:val="00693636"/>
    <w:rsid w:val="006937D8"/>
    <w:rsid w:val="006939C6"/>
    <w:rsid w:val="00693C30"/>
    <w:rsid w:val="00694986"/>
    <w:rsid w:val="006954F1"/>
    <w:rsid w:val="00695792"/>
    <w:rsid w:val="00695BC0"/>
    <w:rsid w:val="00695EA3"/>
    <w:rsid w:val="00697472"/>
    <w:rsid w:val="00697B24"/>
    <w:rsid w:val="006A031F"/>
    <w:rsid w:val="006A06B4"/>
    <w:rsid w:val="006A1213"/>
    <w:rsid w:val="006A2659"/>
    <w:rsid w:val="006A284B"/>
    <w:rsid w:val="006A2D2C"/>
    <w:rsid w:val="006A48D6"/>
    <w:rsid w:val="006A498B"/>
    <w:rsid w:val="006A4DBC"/>
    <w:rsid w:val="006A54C7"/>
    <w:rsid w:val="006A5911"/>
    <w:rsid w:val="006A5B67"/>
    <w:rsid w:val="006A6934"/>
    <w:rsid w:val="006A6E52"/>
    <w:rsid w:val="006A756E"/>
    <w:rsid w:val="006A75B9"/>
    <w:rsid w:val="006A77F2"/>
    <w:rsid w:val="006B0197"/>
    <w:rsid w:val="006B046C"/>
    <w:rsid w:val="006B06EA"/>
    <w:rsid w:val="006B08CA"/>
    <w:rsid w:val="006B0A17"/>
    <w:rsid w:val="006B1646"/>
    <w:rsid w:val="006B1879"/>
    <w:rsid w:val="006B244D"/>
    <w:rsid w:val="006B48C0"/>
    <w:rsid w:val="006B49DF"/>
    <w:rsid w:val="006B542F"/>
    <w:rsid w:val="006B5486"/>
    <w:rsid w:val="006B559C"/>
    <w:rsid w:val="006B59E9"/>
    <w:rsid w:val="006B662B"/>
    <w:rsid w:val="006B697D"/>
    <w:rsid w:val="006B69D0"/>
    <w:rsid w:val="006B6D82"/>
    <w:rsid w:val="006B6E66"/>
    <w:rsid w:val="006B6E97"/>
    <w:rsid w:val="006B723E"/>
    <w:rsid w:val="006B7487"/>
    <w:rsid w:val="006B74AE"/>
    <w:rsid w:val="006B75BF"/>
    <w:rsid w:val="006B77A4"/>
    <w:rsid w:val="006B7A99"/>
    <w:rsid w:val="006B7C29"/>
    <w:rsid w:val="006B7E95"/>
    <w:rsid w:val="006C093A"/>
    <w:rsid w:val="006C0D30"/>
    <w:rsid w:val="006C0FFB"/>
    <w:rsid w:val="006C128E"/>
    <w:rsid w:val="006C1352"/>
    <w:rsid w:val="006C20E1"/>
    <w:rsid w:val="006C22F2"/>
    <w:rsid w:val="006C2A5A"/>
    <w:rsid w:val="006C2C47"/>
    <w:rsid w:val="006C38CC"/>
    <w:rsid w:val="006C4193"/>
    <w:rsid w:val="006C44E4"/>
    <w:rsid w:val="006C506D"/>
    <w:rsid w:val="006C5180"/>
    <w:rsid w:val="006C53C5"/>
    <w:rsid w:val="006C5EA0"/>
    <w:rsid w:val="006C609E"/>
    <w:rsid w:val="006C64E6"/>
    <w:rsid w:val="006C651E"/>
    <w:rsid w:val="006C72AF"/>
    <w:rsid w:val="006C7347"/>
    <w:rsid w:val="006C7FA1"/>
    <w:rsid w:val="006D03D5"/>
    <w:rsid w:val="006D0B3C"/>
    <w:rsid w:val="006D0DEF"/>
    <w:rsid w:val="006D1020"/>
    <w:rsid w:val="006D150F"/>
    <w:rsid w:val="006D1732"/>
    <w:rsid w:val="006D1772"/>
    <w:rsid w:val="006D1B8C"/>
    <w:rsid w:val="006D1E22"/>
    <w:rsid w:val="006D1FC9"/>
    <w:rsid w:val="006D26C0"/>
    <w:rsid w:val="006D28BB"/>
    <w:rsid w:val="006D29F3"/>
    <w:rsid w:val="006D2CE7"/>
    <w:rsid w:val="006D32B7"/>
    <w:rsid w:val="006D372E"/>
    <w:rsid w:val="006D3BB2"/>
    <w:rsid w:val="006D402A"/>
    <w:rsid w:val="006D4605"/>
    <w:rsid w:val="006D4866"/>
    <w:rsid w:val="006D4B18"/>
    <w:rsid w:val="006D53B8"/>
    <w:rsid w:val="006D5CE3"/>
    <w:rsid w:val="006D60B2"/>
    <w:rsid w:val="006D6360"/>
    <w:rsid w:val="006D6703"/>
    <w:rsid w:val="006D6A0C"/>
    <w:rsid w:val="006D71DB"/>
    <w:rsid w:val="006D7699"/>
    <w:rsid w:val="006E0911"/>
    <w:rsid w:val="006E0C14"/>
    <w:rsid w:val="006E0ED4"/>
    <w:rsid w:val="006E0FAE"/>
    <w:rsid w:val="006E0FD0"/>
    <w:rsid w:val="006E1140"/>
    <w:rsid w:val="006E1909"/>
    <w:rsid w:val="006E1D5E"/>
    <w:rsid w:val="006E211A"/>
    <w:rsid w:val="006E252F"/>
    <w:rsid w:val="006E29A5"/>
    <w:rsid w:val="006E2A85"/>
    <w:rsid w:val="006E36F8"/>
    <w:rsid w:val="006E3856"/>
    <w:rsid w:val="006E3D53"/>
    <w:rsid w:val="006E4033"/>
    <w:rsid w:val="006E42DB"/>
    <w:rsid w:val="006E4614"/>
    <w:rsid w:val="006E47CD"/>
    <w:rsid w:val="006E48EF"/>
    <w:rsid w:val="006E4965"/>
    <w:rsid w:val="006E5377"/>
    <w:rsid w:val="006E562C"/>
    <w:rsid w:val="006E57D7"/>
    <w:rsid w:val="006E5980"/>
    <w:rsid w:val="006E5A18"/>
    <w:rsid w:val="006E5F09"/>
    <w:rsid w:val="006E611E"/>
    <w:rsid w:val="006E63E8"/>
    <w:rsid w:val="006E6899"/>
    <w:rsid w:val="006E6ADE"/>
    <w:rsid w:val="006E6DD2"/>
    <w:rsid w:val="006E6FBE"/>
    <w:rsid w:val="006E7941"/>
    <w:rsid w:val="006F0061"/>
    <w:rsid w:val="006F00FA"/>
    <w:rsid w:val="006F0112"/>
    <w:rsid w:val="006F054B"/>
    <w:rsid w:val="006F15FF"/>
    <w:rsid w:val="006F189F"/>
    <w:rsid w:val="006F19CE"/>
    <w:rsid w:val="006F2807"/>
    <w:rsid w:val="006F2CD4"/>
    <w:rsid w:val="006F2E64"/>
    <w:rsid w:val="006F3423"/>
    <w:rsid w:val="006F34D1"/>
    <w:rsid w:val="006F3894"/>
    <w:rsid w:val="006F52DC"/>
    <w:rsid w:val="006F562F"/>
    <w:rsid w:val="006F5B1F"/>
    <w:rsid w:val="006F5EF3"/>
    <w:rsid w:val="006F63E6"/>
    <w:rsid w:val="006F6F18"/>
    <w:rsid w:val="006F7322"/>
    <w:rsid w:val="006F751E"/>
    <w:rsid w:val="00700301"/>
    <w:rsid w:val="00700344"/>
    <w:rsid w:val="007005EB"/>
    <w:rsid w:val="00700AF3"/>
    <w:rsid w:val="00700DC2"/>
    <w:rsid w:val="00700F08"/>
    <w:rsid w:val="0070176C"/>
    <w:rsid w:val="0070206E"/>
    <w:rsid w:val="00702170"/>
    <w:rsid w:val="0070292B"/>
    <w:rsid w:val="00702C28"/>
    <w:rsid w:val="007031E8"/>
    <w:rsid w:val="0070321A"/>
    <w:rsid w:val="00703682"/>
    <w:rsid w:val="00703A7D"/>
    <w:rsid w:val="00703ABF"/>
    <w:rsid w:val="00703C64"/>
    <w:rsid w:val="00704492"/>
    <w:rsid w:val="007044DD"/>
    <w:rsid w:val="007045FC"/>
    <w:rsid w:val="0070474B"/>
    <w:rsid w:val="00704D46"/>
    <w:rsid w:val="007053F6"/>
    <w:rsid w:val="00705F37"/>
    <w:rsid w:val="0070611D"/>
    <w:rsid w:val="0070624C"/>
    <w:rsid w:val="00706409"/>
    <w:rsid w:val="0070721F"/>
    <w:rsid w:val="00707318"/>
    <w:rsid w:val="0070739B"/>
    <w:rsid w:val="00707B9C"/>
    <w:rsid w:val="00707E3D"/>
    <w:rsid w:val="00710A0D"/>
    <w:rsid w:val="007110C4"/>
    <w:rsid w:val="0071280B"/>
    <w:rsid w:val="00713564"/>
    <w:rsid w:val="00713A44"/>
    <w:rsid w:val="00713C3B"/>
    <w:rsid w:val="00714984"/>
    <w:rsid w:val="00715645"/>
    <w:rsid w:val="00715D12"/>
    <w:rsid w:val="00715D37"/>
    <w:rsid w:val="00716272"/>
    <w:rsid w:val="0071636C"/>
    <w:rsid w:val="00716B49"/>
    <w:rsid w:val="007178A9"/>
    <w:rsid w:val="00717E1B"/>
    <w:rsid w:val="00717EDC"/>
    <w:rsid w:val="00720066"/>
    <w:rsid w:val="0072010D"/>
    <w:rsid w:val="00720478"/>
    <w:rsid w:val="00720569"/>
    <w:rsid w:val="00721077"/>
    <w:rsid w:val="00721564"/>
    <w:rsid w:val="0072179E"/>
    <w:rsid w:val="00722331"/>
    <w:rsid w:val="0072286F"/>
    <w:rsid w:val="007228FC"/>
    <w:rsid w:val="007229EB"/>
    <w:rsid w:val="0072332B"/>
    <w:rsid w:val="0072357E"/>
    <w:rsid w:val="00723F1C"/>
    <w:rsid w:val="007245A6"/>
    <w:rsid w:val="00724B19"/>
    <w:rsid w:val="007252E3"/>
    <w:rsid w:val="00725581"/>
    <w:rsid w:val="00726020"/>
    <w:rsid w:val="00726140"/>
    <w:rsid w:val="00726319"/>
    <w:rsid w:val="007268E9"/>
    <w:rsid w:val="00726D37"/>
    <w:rsid w:val="00726F3B"/>
    <w:rsid w:val="007275E7"/>
    <w:rsid w:val="00727675"/>
    <w:rsid w:val="00727858"/>
    <w:rsid w:val="00727FF7"/>
    <w:rsid w:val="00730113"/>
    <w:rsid w:val="007301EF"/>
    <w:rsid w:val="0073047C"/>
    <w:rsid w:val="00731938"/>
    <w:rsid w:val="00731DB5"/>
    <w:rsid w:val="007332EA"/>
    <w:rsid w:val="007332FE"/>
    <w:rsid w:val="007342DE"/>
    <w:rsid w:val="0073502F"/>
    <w:rsid w:val="00735158"/>
    <w:rsid w:val="007351A0"/>
    <w:rsid w:val="00735204"/>
    <w:rsid w:val="00735871"/>
    <w:rsid w:val="00735C78"/>
    <w:rsid w:val="007364A7"/>
    <w:rsid w:val="0073697A"/>
    <w:rsid w:val="00736E46"/>
    <w:rsid w:val="00737493"/>
    <w:rsid w:val="00737F05"/>
    <w:rsid w:val="00740ACE"/>
    <w:rsid w:val="00740E47"/>
    <w:rsid w:val="00740F50"/>
    <w:rsid w:val="0074120F"/>
    <w:rsid w:val="007414F2"/>
    <w:rsid w:val="0074185E"/>
    <w:rsid w:val="00741FD2"/>
    <w:rsid w:val="007427D0"/>
    <w:rsid w:val="0074293A"/>
    <w:rsid w:val="00743702"/>
    <w:rsid w:val="0074438D"/>
    <w:rsid w:val="00744E24"/>
    <w:rsid w:val="00745652"/>
    <w:rsid w:val="00745F46"/>
    <w:rsid w:val="00746006"/>
    <w:rsid w:val="007470B3"/>
    <w:rsid w:val="007470C7"/>
    <w:rsid w:val="00747623"/>
    <w:rsid w:val="00747646"/>
    <w:rsid w:val="00747750"/>
    <w:rsid w:val="007479E5"/>
    <w:rsid w:val="0075066B"/>
    <w:rsid w:val="00751212"/>
    <w:rsid w:val="007512D5"/>
    <w:rsid w:val="0075163F"/>
    <w:rsid w:val="00751659"/>
    <w:rsid w:val="00751AFC"/>
    <w:rsid w:val="00752B3A"/>
    <w:rsid w:val="00752DA4"/>
    <w:rsid w:val="00753055"/>
    <w:rsid w:val="00753204"/>
    <w:rsid w:val="00753969"/>
    <w:rsid w:val="007541E3"/>
    <w:rsid w:val="0075462E"/>
    <w:rsid w:val="00755139"/>
    <w:rsid w:val="00755517"/>
    <w:rsid w:val="007557DF"/>
    <w:rsid w:val="00755861"/>
    <w:rsid w:val="007563F1"/>
    <w:rsid w:val="007569DF"/>
    <w:rsid w:val="007575DA"/>
    <w:rsid w:val="007576BE"/>
    <w:rsid w:val="00757ED3"/>
    <w:rsid w:val="007600A3"/>
    <w:rsid w:val="00760122"/>
    <w:rsid w:val="00760A07"/>
    <w:rsid w:val="00760AAB"/>
    <w:rsid w:val="007618F1"/>
    <w:rsid w:val="00761D6A"/>
    <w:rsid w:val="0076272A"/>
    <w:rsid w:val="00762797"/>
    <w:rsid w:val="007627FA"/>
    <w:rsid w:val="00762C1B"/>
    <w:rsid w:val="00762E56"/>
    <w:rsid w:val="00762F4F"/>
    <w:rsid w:val="00763BA9"/>
    <w:rsid w:val="00763D3F"/>
    <w:rsid w:val="00763D99"/>
    <w:rsid w:val="00763DF8"/>
    <w:rsid w:val="00763F9D"/>
    <w:rsid w:val="00764252"/>
    <w:rsid w:val="00764625"/>
    <w:rsid w:val="00764B16"/>
    <w:rsid w:val="00764D86"/>
    <w:rsid w:val="00764E88"/>
    <w:rsid w:val="00764E89"/>
    <w:rsid w:val="00765013"/>
    <w:rsid w:val="00765076"/>
    <w:rsid w:val="00765123"/>
    <w:rsid w:val="00766059"/>
    <w:rsid w:val="00766164"/>
    <w:rsid w:val="0076653E"/>
    <w:rsid w:val="00767451"/>
    <w:rsid w:val="0076745E"/>
    <w:rsid w:val="00767C4D"/>
    <w:rsid w:val="00767C59"/>
    <w:rsid w:val="0077013B"/>
    <w:rsid w:val="00770609"/>
    <w:rsid w:val="00770CD0"/>
    <w:rsid w:val="00770EB3"/>
    <w:rsid w:val="0077196F"/>
    <w:rsid w:val="00771F47"/>
    <w:rsid w:val="00772377"/>
    <w:rsid w:val="007724ED"/>
    <w:rsid w:val="007736C8"/>
    <w:rsid w:val="007745CD"/>
    <w:rsid w:val="00774622"/>
    <w:rsid w:val="00774A1A"/>
    <w:rsid w:val="00774C0A"/>
    <w:rsid w:val="00774DAD"/>
    <w:rsid w:val="007755DC"/>
    <w:rsid w:val="00775732"/>
    <w:rsid w:val="00775834"/>
    <w:rsid w:val="00776213"/>
    <w:rsid w:val="0077624F"/>
    <w:rsid w:val="0077672C"/>
    <w:rsid w:val="00777E30"/>
    <w:rsid w:val="0078087F"/>
    <w:rsid w:val="0078097B"/>
    <w:rsid w:val="007809D2"/>
    <w:rsid w:val="00781A75"/>
    <w:rsid w:val="00782B6D"/>
    <w:rsid w:val="00783C90"/>
    <w:rsid w:val="00784314"/>
    <w:rsid w:val="007845E0"/>
    <w:rsid w:val="00784649"/>
    <w:rsid w:val="00784F63"/>
    <w:rsid w:val="007855DD"/>
    <w:rsid w:val="007855E3"/>
    <w:rsid w:val="007856C0"/>
    <w:rsid w:val="00785D22"/>
    <w:rsid w:val="00786588"/>
    <w:rsid w:val="00786B61"/>
    <w:rsid w:val="00786B7B"/>
    <w:rsid w:val="00786C70"/>
    <w:rsid w:val="00786CD1"/>
    <w:rsid w:val="00786CD9"/>
    <w:rsid w:val="00786CE4"/>
    <w:rsid w:val="007872A8"/>
    <w:rsid w:val="00787822"/>
    <w:rsid w:val="0079001C"/>
    <w:rsid w:val="00790EDC"/>
    <w:rsid w:val="00791DF7"/>
    <w:rsid w:val="007935F8"/>
    <w:rsid w:val="00793B52"/>
    <w:rsid w:val="00794646"/>
    <w:rsid w:val="0079486A"/>
    <w:rsid w:val="00794F67"/>
    <w:rsid w:val="007958EC"/>
    <w:rsid w:val="00795F81"/>
    <w:rsid w:val="00795FED"/>
    <w:rsid w:val="007963A3"/>
    <w:rsid w:val="00796DBE"/>
    <w:rsid w:val="00796FE3"/>
    <w:rsid w:val="00797224"/>
    <w:rsid w:val="00797286"/>
    <w:rsid w:val="00797958"/>
    <w:rsid w:val="007A04C8"/>
    <w:rsid w:val="007A1237"/>
    <w:rsid w:val="007A19D9"/>
    <w:rsid w:val="007A1D0A"/>
    <w:rsid w:val="007A1E5F"/>
    <w:rsid w:val="007A21CA"/>
    <w:rsid w:val="007A2622"/>
    <w:rsid w:val="007A2ABD"/>
    <w:rsid w:val="007A2FDD"/>
    <w:rsid w:val="007A377E"/>
    <w:rsid w:val="007A381A"/>
    <w:rsid w:val="007A3E89"/>
    <w:rsid w:val="007A3EED"/>
    <w:rsid w:val="007A430B"/>
    <w:rsid w:val="007A5D97"/>
    <w:rsid w:val="007A63D6"/>
    <w:rsid w:val="007A673E"/>
    <w:rsid w:val="007A72A0"/>
    <w:rsid w:val="007A77D5"/>
    <w:rsid w:val="007A7C29"/>
    <w:rsid w:val="007A7F9F"/>
    <w:rsid w:val="007B005E"/>
    <w:rsid w:val="007B04B7"/>
    <w:rsid w:val="007B0537"/>
    <w:rsid w:val="007B099F"/>
    <w:rsid w:val="007B0B87"/>
    <w:rsid w:val="007B12E8"/>
    <w:rsid w:val="007B13D7"/>
    <w:rsid w:val="007B208E"/>
    <w:rsid w:val="007B26EA"/>
    <w:rsid w:val="007B2853"/>
    <w:rsid w:val="007B2A16"/>
    <w:rsid w:val="007B2B93"/>
    <w:rsid w:val="007B2C09"/>
    <w:rsid w:val="007B34E2"/>
    <w:rsid w:val="007B453F"/>
    <w:rsid w:val="007B4826"/>
    <w:rsid w:val="007B4A95"/>
    <w:rsid w:val="007B4B7B"/>
    <w:rsid w:val="007B523C"/>
    <w:rsid w:val="007B6DA2"/>
    <w:rsid w:val="007B7495"/>
    <w:rsid w:val="007C05E0"/>
    <w:rsid w:val="007C0C70"/>
    <w:rsid w:val="007C0D4C"/>
    <w:rsid w:val="007C0E9A"/>
    <w:rsid w:val="007C1206"/>
    <w:rsid w:val="007C1265"/>
    <w:rsid w:val="007C13C4"/>
    <w:rsid w:val="007C1B52"/>
    <w:rsid w:val="007C1D39"/>
    <w:rsid w:val="007C274D"/>
    <w:rsid w:val="007C2D2B"/>
    <w:rsid w:val="007C324A"/>
    <w:rsid w:val="007C32DA"/>
    <w:rsid w:val="007C32E5"/>
    <w:rsid w:val="007C330D"/>
    <w:rsid w:val="007C34CB"/>
    <w:rsid w:val="007C3B34"/>
    <w:rsid w:val="007C4F54"/>
    <w:rsid w:val="007C51A1"/>
    <w:rsid w:val="007C534E"/>
    <w:rsid w:val="007C5400"/>
    <w:rsid w:val="007C61C4"/>
    <w:rsid w:val="007C6295"/>
    <w:rsid w:val="007C63A2"/>
    <w:rsid w:val="007C66F2"/>
    <w:rsid w:val="007C6AFC"/>
    <w:rsid w:val="007C6EB2"/>
    <w:rsid w:val="007C6FC5"/>
    <w:rsid w:val="007C7238"/>
    <w:rsid w:val="007C7B3F"/>
    <w:rsid w:val="007C7D08"/>
    <w:rsid w:val="007D02D1"/>
    <w:rsid w:val="007D0B18"/>
    <w:rsid w:val="007D10AB"/>
    <w:rsid w:val="007D1D0C"/>
    <w:rsid w:val="007D1D95"/>
    <w:rsid w:val="007D250F"/>
    <w:rsid w:val="007D2949"/>
    <w:rsid w:val="007D2A95"/>
    <w:rsid w:val="007D3013"/>
    <w:rsid w:val="007D320B"/>
    <w:rsid w:val="007D336B"/>
    <w:rsid w:val="007D4082"/>
    <w:rsid w:val="007D408C"/>
    <w:rsid w:val="007D4C45"/>
    <w:rsid w:val="007D5493"/>
    <w:rsid w:val="007D5C36"/>
    <w:rsid w:val="007D5FD8"/>
    <w:rsid w:val="007D645C"/>
    <w:rsid w:val="007D6983"/>
    <w:rsid w:val="007D7CE7"/>
    <w:rsid w:val="007D7ECF"/>
    <w:rsid w:val="007E0025"/>
    <w:rsid w:val="007E02F1"/>
    <w:rsid w:val="007E06B0"/>
    <w:rsid w:val="007E122D"/>
    <w:rsid w:val="007E13EF"/>
    <w:rsid w:val="007E149B"/>
    <w:rsid w:val="007E282F"/>
    <w:rsid w:val="007E3188"/>
    <w:rsid w:val="007E3B3B"/>
    <w:rsid w:val="007E3CFA"/>
    <w:rsid w:val="007E4068"/>
    <w:rsid w:val="007E40E8"/>
    <w:rsid w:val="007E41F7"/>
    <w:rsid w:val="007E4349"/>
    <w:rsid w:val="007E44B1"/>
    <w:rsid w:val="007E4AB6"/>
    <w:rsid w:val="007E4ADB"/>
    <w:rsid w:val="007E4DC5"/>
    <w:rsid w:val="007E5E9E"/>
    <w:rsid w:val="007E63F1"/>
    <w:rsid w:val="007E6D78"/>
    <w:rsid w:val="007F02AE"/>
    <w:rsid w:val="007F0B71"/>
    <w:rsid w:val="007F0E64"/>
    <w:rsid w:val="007F1144"/>
    <w:rsid w:val="007F1952"/>
    <w:rsid w:val="007F1968"/>
    <w:rsid w:val="007F1B90"/>
    <w:rsid w:val="007F2020"/>
    <w:rsid w:val="007F2B48"/>
    <w:rsid w:val="007F2D95"/>
    <w:rsid w:val="007F3217"/>
    <w:rsid w:val="007F3773"/>
    <w:rsid w:val="007F38D7"/>
    <w:rsid w:val="007F49B4"/>
    <w:rsid w:val="007F4A1C"/>
    <w:rsid w:val="007F4FF7"/>
    <w:rsid w:val="007F543B"/>
    <w:rsid w:val="007F5F29"/>
    <w:rsid w:val="007F5FE0"/>
    <w:rsid w:val="007F650E"/>
    <w:rsid w:val="007F6B4A"/>
    <w:rsid w:val="007F73E8"/>
    <w:rsid w:val="007F7613"/>
    <w:rsid w:val="007F76BD"/>
    <w:rsid w:val="007F7B97"/>
    <w:rsid w:val="00800005"/>
    <w:rsid w:val="00800670"/>
    <w:rsid w:val="00800ACC"/>
    <w:rsid w:val="00800D3E"/>
    <w:rsid w:val="0080105C"/>
    <w:rsid w:val="00801724"/>
    <w:rsid w:val="00801D4D"/>
    <w:rsid w:val="00802251"/>
    <w:rsid w:val="008027D3"/>
    <w:rsid w:val="00802C4F"/>
    <w:rsid w:val="00802ECE"/>
    <w:rsid w:val="008039A0"/>
    <w:rsid w:val="00804505"/>
    <w:rsid w:val="00805138"/>
    <w:rsid w:val="008053DD"/>
    <w:rsid w:val="00805666"/>
    <w:rsid w:val="00805A0E"/>
    <w:rsid w:val="00805BF5"/>
    <w:rsid w:val="00805ED1"/>
    <w:rsid w:val="00805FF3"/>
    <w:rsid w:val="008061A5"/>
    <w:rsid w:val="00806EE1"/>
    <w:rsid w:val="00807228"/>
    <w:rsid w:val="00807E74"/>
    <w:rsid w:val="00810A0E"/>
    <w:rsid w:val="00810EEB"/>
    <w:rsid w:val="00811C7E"/>
    <w:rsid w:val="008123E8"/>
    <w:rsid w:val="00812591"/>
    <w:rsid w:val="00812919"/>
    <w:rsid w:val="0081310B"/>
    <w:rsid w:val="00813464"/>
    <w:rsid w:val="0081393F"/>
    <w:rsid w:val="00813EA1"/>
    <w:rsid w:val="00813F2C"/>
    <w:rsid w:val="008140EA"/>
    <w:rsid w:val="008144B5"/>
    <w:rsid w:val="00814688"/>
    <w:rsid w:val="0081478D"/>
    <w:rsid w:val="00814834"/>
    <w:rsid w:val="00814C59"/>
    <w:rsid w:val="00814C66"/>
    <w:rsid w:val="00814D8D"/>
    <w:rsid w:val="00814E5F"/>
    <w:rsid w:val="00815267"/>
    <w:rsid w:val="008156D6"/>
    <w:rsid w:val="00815BEB"/>
    <w:rsid w:val="00815CCD"/>
    <w:rsid w:val="008160C1"/>
    <w:rsid w:val="00817012"/>
    <w:rsid w:val="00817A5B"/>
    <w:rsid w:val="00820028"/>
    <w:rsid w:val="00820677"/>
    <w:rsid w:val="00820F2F"/>
    <w:rsid w:val="008212A6"/>
    <w:rsid w:val="00821695"/>
    <w:rsid w:val="00821742"/>
    <w:rsid w:val="00821BC7"/>
    <w:rsid w:val="00821C71"/>
    <w:rsid w:val="00821DB2"/>
    <w:rsid w:val="008227B1"/>
    <w:rsid w:val="00822F41"/>
    <w:rsid w:val="008230B1"/>
    <w:rsid w:val="00823127"/>
    <w:rsid w:val="00823806"/>
    <w:rsid w:val="00823B57"/>
    <w:rsid w:val="00824269"/>
    <w:rsid w:val="00824C38"/>
    <w:rsid w:val="00825034"/>
    <w:rsid w:val="008252E8"/>
    <w:rsid w:val="0082565F"/>
    <w:rsid w:val="008256F1"/>
    <w:rsid w:val="008258F8"/>
    <w:rsid w:val="0082616F"/>
    <w:rsid w:val="00826ADA"/>
    <w:rsid w:val="00826BD3"/>
    <w:rsid w:val="00826D03"/>
    <w:rsid w:val="00827038"/>
    <w:rsid w:val="008277C7"/>
    <w:rsid w:val="00827AEA"/>
    <w:rsid w:val="00827C83"/>
    <w:rsid w:val="00830120"/>
    <w:rsid w:val="0083016A"/>
    <w:rsid w:val="0083132C"/>
    <w:rsid w:val="008325A5"/>
    <w:rsid w:val="0083286F"/>
    <w:rsid w:val="0083376E"/>
    <w:rsid w:val="0083385F"/>
    <w:rsid w:val="00833958"/>
    <w:rsid w:val="00833E31"/>
    <w:rsid w:val="008342F0"/>
    <w:rsid w:val="008349A7"/>
    <w:rsid w:val="00834BE1"/>
    <w:rsid w:val="00834CBF"/>
    <w:rsid w:val="008360BC"/>
    <w:rsid w:val="00836EC0"/>
    <w:rsid w:val="00837163"/>
    <w:rsid w:val="00837A4C"/>
    <w:rsid w:val="00837EA0"/>
    <w:rsid w:val="008403FB"/>
    <w:rsid w:val="00840EB2"/>
    <w:rsid w:val="00841143"/>
    <w:rsid w:val="00841464"/>
    <w:rsid w:val="008416B9"/>
    <w:rsid w:val="0084170C"/>
    <w:rsid w:val="00842D5B"/>
    <w:rsid w:val="00843085"/>
    <w:rsid w:val="00843634"/>
    <w:rsid w:val="0084396F"/>
    <w:rsid w:val="00843A39"/>
    <w:rsid w:val="00843CC8"/>
    <w:rsid w:val="00843DCB"/>
    <w:rsid w:val="00843E68"/>
    <w:rsid w:val="0084431D"/>
    <w:rsid w:val="00844326"/>
    <w:rsid w:val="008452F2"/>
    <w:rsid w:val="00845439"/>
    <w:rsid w:val="00845657"/>
    <w:rsid w:val="00845786"/>
    <w:rsid w:val="00846617"/>
    <w:rsid w:val="00846CF4"/>
    <w:rsid w:val="008477AE"/>
    <w:rsid w:val="00847A72"/>
    <w:rsid w:val="00847C68"/>
    <w:rsid w:val="0085010A"/>
    <w:rsid w:val="00850D59"/>
    <w:rsid w:val="00850F7A"/>
    <w:rsid w:val="00851323"/>
    <w:rsid w:val="008514CC"/>
    <w:rsid w:val="00851664"/>
    <w:rsid w:val="00851E8D"/>
    <w:rsid w:val="008524E4"/>
    <w:rsid w:val="00852BC1"/>
    <w:rsid w:val="00853338"/>
    <w:rsid w:val="00853544"/>
    <w:rsid w:val="008535D0"/>
    <w:rsid w:val="00854E40"/>
    <w:rsid w:val="0085523C"/>
    <w:rsid w:val="0085548F"/>
    <w:rsid w:val="008554D2"/>
    <w:rsid w:val="00855797"/>
    <w:rsid w:val="008562E4"/>
    <w:rsid w:val="00856305"/>
    <w:rsid w:val="00856317"/>
    <w:rsid w:val="008565F7"/>
    <w:rsid w:val="0085688D"/>
    <w:rsid w:val="008569EE"/>
    <w:rsid w:val="008572B0"/>
    <w:rsid w:val="008600C1"/>
    <w:rsid w:val="00860184"/>
    <w:rsid w:val="00860905"/>
    <w:rsid w:val="00860CC0"/>
    <w:rsid w:val="00860EAE"/>
    <w:rsid w:val="00861A44"/>
    <w:rsid w:val="00861DDB"/>
    <w:rsid w:val="00862698"/>
    <w:rsid w:val="00862B6F"/>
    <w:rsid w:val="00863141"/>
    <w:rsid w:val="0086380B"/>
    <w:rsid w:val="008651A6"/>
    <w:rsid w:val="008657C9"/>
    <w:rsid w:val="00865AC3"/>
    <w:rsid w:val="00865CAF"/>
    <w:rsid w:val="00866AEC"/>
    <w:rsid w:val="00866CC4"/>
    <w:rsid w:val="00866FCE"/>
    <w:rsid w:val="00867082"/>
    <w:rsid w:val="008672EE"/>
    <w:rsid w:val="00867364"/>
    <w:rsid w:val="008673C5"/>
    <w:rsid w:val="00870342"/>
    <w:rsid w:val="0087039A"/>
    <w:rsid w:val="00870416"/>
    <w:rsid w:val="00870874"/>
    <w:rsid w:val="00870B12"/>
    <w:rsid w:val="00870B6B"/>
    <w:rsid w:val="00871445"/>
    <w:rsid w:val="0087160C"/>
    <w:rsid w:val="008716DE"/>
    <w:rsid w:val="008721B4"/>
    <w:rsid w:val="00872921"/>
    <w:rsid w:val="00872B42"/>
    <w:rsid w:val="00872C64"/>
    <w:rsid w:val="00872C90"/>
    <w:rsid w:val="00872EFD"/>
    <w:rsid w:val="0087308C"/>
    <w:rsid w:val="008738EF"/>
    <w:rsid w:val="00873ADD"/>
    <w:rsid w:val="00873CD6"/>
    <w:rsid w:val="00873F2F"/>
    <w:rsid w:val="008744EC"/>
    <w:rsid w:val="008745B3"/>
    <w:rsid w:val="00874CB2"/>
    <w:rsid w:val="00875238"/>
    <w:rsid w:val="00875870"/>
    <w:rsid w:val="00875CC8"/>
    <w:rsid w:val="00875EBD"/>
    <w:rsid w:val="00876BBF"/>
    <w:rsid w:val="0087707F"/>
    <w:rsid w:val="0087728C"/>
    <w:rsid w:val="0087746D"/>
    <w:rsid w:val="00877B17"/>
    <w:rsid w:val="00877E66"/>
    <w:rsid w:val="0088021D"/>
    <w:rsid w:val="008803F3"/>
    <w:rsid w:val="008805C9"/>
    <w:rsid w:val="00880F2C"/>
    <w:rsid w:val="008817E5"/>
    <w:rsid w:val="00881BF1"/>
    <w:rsid w:val="00881C63"/>
    <w:rsid w:val="00881E70"/>
    <w:rsid w:val="00882225"/>
    <w:rsid w:val="00882544"/>
    <w:rsid w:val="0088256F"/>
    <w:rsid w:val="0088257A"/>
    <w:rsid w:val="00882746"/>
    <w:rsid w:val="00882F9E"/>
    <w:rsid w:val="00883372"/>
    <w:rsid w:val="00883D69"/>
    <w:rsid w:val="00884328"/>
    <w:rsid w:val="008844F2"/>
    <w:rsid w:val="00884D48"/>
    <w:rsid w:val="0088502A"/>
    <w:rsid w:val="00885CE1"/>
    <w:rsid w:val="00886504"/>
    <w:rsid w:val="0088657F"/>
    <w:rsid w:val="0088712B"/>
    <w:rsid w:val="008901CB"/>
    <w:rsid w:val="00890357"/>
    <w:rsid w:val="008906A3"/>
    <w:rsid w:val="00890ECE"/>
    <w:rsid w:val="00891257"/>
    <w:rsid w:val="008916E1"/>
    <w:rsid w:val="00892291"/>
    <w:rsid w:val="00892C32"/>
    <w:rsid w:val="00893881"/>
    <w:rsid w:val="00893AF3"/>
    <w:rsid w:val="00893F95"/>
    <w:rsid w:val="008945AE"/>
    <w:rsid w:val="00894C18"/>
    <w:rsid w:val="0089508D"/>
    <w:rsid w:val="0089558D"/>
    <w:rsid w:val="0089580B"/>
    <w:rsid w:val="0089586D"/>
    <w:rsid w:val="0089597C"/>
    <w:rsid w:val="00895ED9"/>
    <w:rsid w:val="008968F7"/>
    <w:rsid w:val="008971D9"/>
    <w:rsid w:val="00897759"/>
    <w:rsid w:val="008A0491"/>
    <w:rsid w:val="008A07CE"/>
    <w:rsid w:val="008A12AA"/>
    <w:rsid w:val="008A1462"/>
    <w:rsid w:val="008A18C6"/>
    <w:rsid w:val="008A18CC"/>
    <w:rsid w:val="008A23CA"/>
    <w:rsid w:val="008A250F"/>
    <w:rsid w:val="008A33C2"/>
    <w:rsid w:val="008A3424"/>
    <w:rsid w:val="008A398B"/>
    <w:rsid w:val="008A47A8"/>
    <w:rsid w:val="008A5266"/>
    <w:rsid w:val="008A557D"/>
    <w:rsid w:val="008A564D"/>
    <w:rsid w:val="008A5892"/>
    <w:rsid w:val="008A5CF1"/>
    <w:rsid w:val="008A61C9"/>
    <w:rsid w:val="008A6863"/>
    <w:rsid w:val="008A6F22"/>
    <w:rsid w:val="008B033B"/>
    <w:rsid w:val="008B0B92"/>
    <w:rsid w:val="008B0BDE"/>
    <w:rsid w:val="008B0EE9"/>
    <w:rsid w:val="008B1323"/>
    <w:rsid w:val="008B162C"/>
    <w:rsid w:val="008B268C"/>
    <w:rsid w:val="008B2C51"/>
    <w:rsid w:val="008B32BE"/>
    <w:rsid w:val="008B352B"/>
    <w:rsid w:val="008B363C"/>
    <w:rsid w:val="008B3747"/>
    <w:rsid w:val="008B3D80"/>
    <w:rsid w:val="008B448B"/>
    <w:rsid w:val="008B4D86"/>
    <w:rsid w:val="008B5B21"/>
    <w:rsid w:val="008B698F"/>
    <w:rsid w:val="008B6F9F"/>
    <w:rsid w:val="008B71B3"/>
    <w:rsid w:val="008B7618"/>
    <w:rsid w:val="008B77DF"/>
    <w:rsid w:val="008C02A7"/>
    <w:rsid w:val="008C04F8"/>
    <w:rsid w:val="008C0C11"/>
    <w:rsid w:val="008C0FAA"/>
    <w:rsid w:val="008C1365"/>
    <w:rsid w:val="008C1810"/>
    <w:rsid w:val="008C265E"/>
    <w:rsid w:val="008C2AC1"/>
    <w:rsid w:val="008C3480"/>
    <w:rsid w:val="008C39EB"/>
    <w:rsid w:val="008C3A51"/>
    <w:rsid w:val="008C3C57"/>
    <w:rsid w:val="008C3CBA"/>
    <w:rsid w:val="008C3E97"/>
    <w:rsid w:val="008C4397"/>
    <w:rsid w:val="008C4A9F"/>
    <w:rsid w:val="008C4C2A"/>
    <w:rsid w:val="008C4DA2"/>
    <w:rsid w:val="008C5527"/>
    <w:rsid w:val="008C5808"/>
    <w:rsid w:val="008C5AA3"/>
    <w:rsid w:val="008C5FCD"/>
    <w:rsid w:val="008C60A2"/>
    <w:rsid w:val="008C613B"/>
    <w:rsid w:val="008C667E"/>
    <w:rsid w:val="008C6C9D"/>
    <w:rsid w:val="008C726F"/>
    <w:rsid w:val="008C72D3"/>
    <w:rsid w:val="008C76C3"/>
    <w:rsid w:val="008C7FDF"/>
    <w:rsid w:val="008D0284"/>
    <w:rsid w:val="008D0394"/>
    <w:rsid w:val="008D06B8"/>
    <w:rsid w:val="008D0894"/>
    <w:rsid w:val="008D0F3E"/>
    <w:rsid w:val="008D11D6"/>
    <w:rsid w:val="008D1585"/>
    <w:rsid w:val="008D1C9B"/>
    <w:rsid w:val="008D27FB"/>
    <w:rsid w:val="008D2C0A"/>
    <w:rsid w:val="008D2CB0"/>
    <w:rsid w:val="008D51F5"/>
    <w:rsid w:val="008D53B5"/>
    <w:rsid w:val="008D54F1"/>
    <w:rsid w:val="008D553F"/>
    <w:rsid w:val="008D5547"/>
    <w:rsid w:val="008D63AD"/>
    <w:rsid w:val="008D6628"/>
    <w:rsid w:val="008D692F"/>
    <w:rsid w:val="008D6945"/>
    <w:rsid w:val="008D6C0E"/>
    <w:rsid w:val="008D6C31"/>
    <w:rsid w:val="008D7270"/>
    <w:rsid w:val="008D786A"/>
    <w:rsid w:val="008D7928"/>
    <w:rsid w:val="008D7BBC"/>
    <w:rsid w:val="008D7D27"/>
    <w:rsid w:val="008E26B3"/>
    <w:rsid w:val="008E27F6"/>
    <w:rsid w:val="008E3820"/>
    <w:rsid w:val="008E38D5"/>
    <w:rsid w:val="008E3A5A"/>
    <w:rsid w:val="008E3B7A"/>
    <w:rsid w:val="008E4008"/>
    <w:rsid w:val="008E4092"/>
    <w:rsid w:val="008E5569"/>
    <w:rsid w:val="008E57DA"/>
    <w:rsid w:val="008E59D5"/>
    <w:rsid w:val="008E59FF"/>
    <w:rsid w:val="008E7361"/>
    <w:rsid w:val="008E7BC0"/>
    <w:rsid w:val="008F0310"/>
    <w:rsid w:val="008F0E00"/>
    <w:rsid w:val="008F0E55"/>
    <w:rsid w:val="008F1529"/>
    <w:rsid w:val="008F2070"/>
    <w:rsid w:val="008F2B2A"/>
    <w:rsid w:val="008F385B"/>
    <w:rsid w:val="008F4FB7"/>
    <w:rsid w:val="008F51F0"/>
    <w:rsid w:val="008F62E9"/>
    <w:rsid w:val="008F6540"/>
    <w:rsid w:val="008F70BF"/>
    <w:rsid w:val="008F767A"/>
    <w:rsid w:val="008F7A17"/>
    <w:rsid w:val="008F7BA7"/>
    <w:rsid w:val="008F7D5C"/>
    <w:rsid w:val="008F7FC7"/>
    <w:rsid w:val="00900624"/>
    <w:rsid w:val="009006A5"/>
    <w:rsid w:val="009008B4"/>
    <w:rsid w:val="0090110C"/>
    <w:rsid w:val="009012A4"/>
    <w:rsid w:val="00902034"/>
    <w:rsid w:val="0090226F"/>
    <w:rsid w:val="00902784"/>
    <w:rsid w:val="00902994"/>
    <w:rsid w:val="00902F9B"/>
    <w:rsid w:val="009038FC"/>
    <w:rsid w:val="0090393B"/>
    <w:rsid w:val="00903BFC"/>
    <w:rsid w:val="00903C39"/>
    <w:rsid w:val="0090419C"/>
    <w:rsid w:val="009041E2"/>
    <w:rsid w:val="00904FF2"/>
    <w:rsid w:val="00905447"/>
    <w:rsid w:val="009057B5"/>
    <w:rsid w:val="00906141"/>
    <w:rsid w:val="00906989"/>
    <w:rsid w:val="0090731B"/>
    <w:rsid w:val="0090747F"/>
    <w:rsid w:val="0090760E"/>
    <w:rsid w:val="0090765D"/>
    <w:rsid w:val="0090766B"/>
    <w:rsid w:val="009079F9"/>
    <w:rsid w:val="00910118"/>
    <w:rsid w:val="00910944"/>
    <w:rsid w:val="00910A81"/>
    <w:rsid w:val="0091148A"/>
    <w:rsid w:val="009117BE"/>
    <w:rsid w:val="009119C5"/>
    <w:rsid w:val="00911BBC"/>
    <w:rsid w:val="009121F1"/>
    <w:rsid w:val="00915C74"/>
    <w:rsid w:val="009166C0"/>
    <w:rsid w:val="00916C66"/>
    <w:rsid w:val="00917CFB"/>
    <w:rsid w:val="00917FCF"/>
    <w:rsid w:val="0092021C"/>
    <w:rsid w:val="00920237"/>
    <w:rsid w:val="00920A05"/>
    <w:rsid w:val="00920A84"/>
    <w:rsid w:val="009211C5"/>
    <w:rsid w:val="009219E4"/>
    <w:rsid w:val="00921D67"/>
    <w:rsid w:val="00922033"/>
    <w:rsid w:val="00922378"/>
    <w:rsid w:val="009224B6"/>
    <w:rsid w:val="0092292A"/>
    <w:rsid w:val="00922BE6"/>
    <w:rsid w:val="00923099"/>
    <w:rsid w:val="0092318D"/>
    <w:rsid w:val="0092324D"/>
    <w:rsid w:val="00923424"/>
    <w:rsid w:val="00923643"/>
    <w:rsid w:val="0092389C"/>
    <w:rsid w:val="009238EE"/>
    <w:rsid w:val="00923E04"/>
    <w:rsid w:val="00924168"/>
    <w:rsid w:val="00924548"/>
    <w:rsid w:val="00925144"/>
    <w:rsid w:val="00925472"/>
    <w:rsid w:val="00925A65"/>
    <w:rsid w:val="00925CAD"/>
    <w:rsid w:val="00925FD8"/>
    <w:rsid w:val="009269CF"/>
    <w:rsid w:val="00926CD1"/>
    <w:rsid w:val="009272CE"/>
    <w:rsid w:val="00927557"/>
    <w:rsid w:val="00927728"/>
    <w:rsid w:val="00930009"/>
    <w:rsid w:val="009301FA"/>
    <w:rsid w:val="0093050C"/>
    <w:rsid w:val="00930A4B"/>
    <w:rsid w:val="0093118F"/>
    <w:rsid w:val="00931509"/>
    <w:rsid w:val="00931B1E"/>
    <w:rsid w:val="00931F26"/>
    <w:rsid w:val="009327C8"/>
    <w:rsid w:val="00932C02"/>
    <w:rsid w:val="0093384A"/>
    <w:rsid w:val="00933910"/>
    <w:rsid w:val="00933ABC"/>
    <w:rsid w:val="00934C5B"/>
    <w:rsid w:val="00934D4F"/>
    <w:rsid w:val="009367E2"/>
    <w:rsid w:val="009369DA"/>
    <w:rsid w:val="009369E5"/>
    <w:rsid w:val="009375D6"/>
    <w:rsid w:val="00937629"/>
    <w:rsid w:val="00940630"/>
    <w:rsid w:val="009409BE"/>
    <w:rsid w:val="009411C1"/>
    <w:rsid w:val="0094144F"/>
    <w:rsid w:val="0094162B"/>
    <w:rsid w:val="00941DFA"/>
    <w:rsid w:val="00942C90"/>
    <w:rsid w:val="009436EF"/>
    <w:rsid w:val="0094376D"/>
    <w:rsid w:val="00944248"/>
    <w:rsid w:val="00944F25"/>
    <w:rsid w:val="009454CE"/>
    <w:rsid w:val="00945809"/>
    <w:rsid w:val="00946029"/>
    <w:rsid w:val="009460BA"/>
    <w:rsid w:val="00946B4E"/>
    <w:rsid w:val="00946DB8"/>
    <w:rsid w:val="00947B51"/>
    <w:rsid w:val="00947F17"/>
    <w:rsid w:val="00950C08"/>
    <w:rsid w:val="0095172E"/>
    <w:rsid w:val="00951CE5"/>
    <w:rsid w:val="00951E57"/>
    <w:rsid w:val="00953164"/>
    <w:rsid w:val="00953CA3"/>
    <w:rsid w:val="00954675"/>
    <w:rsid w:val="0095495B"/>
    <w:rsid w:val="00954D25"/>
    <w:rsid w:val="0095627D"/>
    <w:rsid w:val="0095640B"/>
    <w:rsid w:val="00956806"/>
    <w:rsid w:val="00956904"/>
    <w:rsid w:val="00956CB9"/>
    <w:rsid w:val="00956E17"/>
    <w:rsid w:val="00956FCC"/>
    <w:rsid w:val="009570E4"/>
    <w:rsid w:val="00957480"/>
    <w:rsid w:val="0095752A"/>
    <w:rsid w:val="00957827"/>
    <w:rsid w:val="00960353"/>
    <w:rsid w:val="009603AC"/>
    <w:rsid w:val="00960422"/>
    <w:rsid w:val="00960C17"/>
    <w:rsid w:val="00961649"/>
    <w:rsid w:val="00961B41"/>
    <w:rsid w:val="00961D94"/>
    <w:rsid w:val="0096209E"/>
    <w:rsid w:val="00962729"/>
    <w:rsid w:val="00962A16"/>
    <w:rsid w:val="00963C86"/>
    <w:rsid w:val="0096477D"/>
    <w:rsid w:val="00964B7A"/>
    <w:rsid w:val="00964BAD"/>
    <w:rsid w:val="00964C30"/>
    <w:rsid w:val="00965135"/>
    <w:rsid w:val="00965A17"/>
    <w:rsid w:val="00965C6F"/>
    <w:rsid w:val="00966149"/>
    <w:rsid w:val="009663B6"/>
    <w:rsid w:val="00966EDB"/>
    <w:rsid w:val="0096771B"/>
    <w:rsid w:val="00967C93"/>
    <w:rsid w:val="009702C1"/>
    <w:rsid w:val="0097076F"/>
    <w:rsid w:val="00970817"/>
    <w:rsid w:val="00971517"/>
    <w:rsid w:val="0097160F"/>
    <w:rsid w:val="009717BC"/>
    <w:rsid w:val="0097213F"/>
    <w:rsid w:val="009724C0"/>
    <w:rsid w:val="00973CB2"/>
    <w:rsid w:val="00973E7C"/>
    <w:rsid w:val="00974546"/>
    <w:rsid w:val="0097463E"/>
    <w:rsid w:val="00974D84"/>
    <w:rsid w:val="009757C9"/>
    <w:rsid w:val="00975FB1"/>
    <w:rsid w:val="009765D8"/>
    <w:rsid w:val="009767F6"/>
    <w:rsid w:val="00976A5B"/>
    <w:rsid w:val="0097760D"/>
    <w:rsid w:val="00980504"/>
    <w:rsid w:val="00980B28"/>
    <w:rsid w:val="00980BF4"/>
    <w:rsid w:val="00980C54"/>
    <w:rsid w:val="0098148B"/>
    <w:rsid w:val="00981500"/>
    <w:rsid w:val="009819FB"/>
    <w:rsid w:val="00982063"/>
    <w:rsid w:val="009831E8"/>
    <w:rsid w:val="0098451B"/>
    <w:rsid w:val="009854C5"/>
    <w:rsid w:val="00985F26"/>
    <w:rsid w:val="00986CB1"/>
    <w:rsid w:val="009871BA"/>
    <w:rsid w:val="0098796A"/>
    <w:rsid w:val="00987D5E"/>
    <w:rsid w:val="00987F5E"/>
    <w:rsid w:val="009903B6"/>
    <w:rsid w:val="0099051D"/>
    <w:rsid w:val="0099112C"/>
    <w:rsid w:val="009912E4"/>
    <w:rsid w:val="0099156D"/>
    <w:rsid w:val="00991821"/>
    <w:rsid w:val="00991D5A"/>
    <w:rsid w:val="00991F07"/>
    <w:rsid w:val="009920C1"/>
    <w:rsid w:val="009922A8"/>
    <w:rsid w:val="00992561"/>
    <w:rsid w:val="00992ADD"/>
    <w:rsid w:val="00992CB9"/>
    <w:rsid w:val="00992EE8"/>
    <w:rsid w:val="00993063"/>
    <w:rsid w:val="009932D5"/>
    <w:rsid w:val="009933EA"/>
    <w:rsid w:val="00993BCB"/>
    <w:rsid w:val="009946C4"/>
    <w:rsid w:val="00994DC8"/>
    <w:rsid w:val="009952BC"/>
    <w:rsid w:val="00995441"/>
    <w:rsid w:val="00995941"/>
    <w:rsid w:val="00995EDE"/>
    <w:rsid w:val="00996203"/>
    <w:rsid w:val="0099637D"/>
    <w:rsid w:val="009963A5"/>
    <w:rsid w:val="00996605"/>
    <w:rsid w:val="00996882"/>
    <w:rsid w:val="009978CC"/>
    <w:rsid w:val="009A0CBC"/>
    <w:rsid w:val="009A0D32"/>
    <w:rsid w:val="009A0EBE"/>
    <w:rsid w:val="009A1543"/>
    <w:rsid w:val="009A16C1"/>
    <w:rsid w:val="009A21F6"/>
    <w:rsid w:val="009A315B"/>
    <w:rsid w:val="009A34FE"/>
    <w:rsid w:val="009A3A01"/>
    <w:rsid w:val="009A3AE7"/>
    <w:rsid w:val="009A3B45"/>
    <w:rsid w:val="009A3DAF"/>
    <w:rsid w:val="009A3EC3"/>
    <w:rsid w:val="009A429B"/>
    <w:rsid w:val="009A43C3"/>
    <w:rsid w:val="009A452E"/>
    <w:rsid w:val="009A49E7"/>
    <w:rsid w:val="009A4F6F"/>
    <w:rsid w:val="009A5253"/>
    <w:rsid w:val="009A53F9"/>
    <w:rsid w:val="009A5C66"/>
    <w:rsid w:val="009A5F42"/>
    <w:rsid w:val="009A625D"/>
    <w:rsid w:val="009A62A1"/>
    <w:rsid w:val="009A6B37"/>
    <w:rsid w:val="009A6ED7"/>
    <w:rsid w:val="009A786B"/>
    <w:rsid w:val="009A7DA1"/>
    <w:rsid w:val="009A7E51"/>
    <w:rsid w:val="009A7FE4"/>
    <w:rsid w:val="009B00B5"/>
    <w:rsid w:val="009B0409"/>
    <w:rsid w:val="009B0954"/>
    <w:rsid w:val="009B1439"/>
    <w:rsid w:val="009B160C"/>
    <w:rsid w:val="009B1B23"/>
    <w:rsid w:val="009B1BA7"/>
    <w:rsid w:val="009B1BCF"/>
    <w:rsid w:val="009B1EB4"/>
    <w:rsid w:val="009B22E1"/>
    <w:rsid w:val="009B27F2"/>
    <w:rsid w:val="009B2B99"/>
    <w:rsid w:val="009B2C5F"/>
    <w:rsid w:val="009B2C80"/>
    <w:rsid w:val="009B2FEA"/>
    <w:rsid w:val="009B3495"/>
    <w:rsid w:val="009B34FA"/>
    <w:rsid w:val="009B368D"/>
    <w:rsid w:val="009B3B0D"/>
    <w:rsid w:val="009B3E0C"/>
    <w:rsid w:val="009B4067"/>
    <w:rsid w:val="009B4398"/>
    <w:rsid w:val="009B44FB"/>
    <w:rsid w:val="009B450D"/>
    <w:rsid w:val="009B46BD"/>
    <w:rsid w:val="009B4718"/>
    <w:rsid w:val="009B537D"/>
    <w:rsid w:val="009B5DA5"/>
    <w:rsid w:val="009B6DEE"/>
    <w:rsid w:val="009B757A"/>
    <w:rsid w:val="009C03B3"/>
    <w:rsid w:val="009C040A"/>
    <w:rsid w:val="009C1009"/>
    <w:rsid w:val="009C18A0"/>
    <w:rsid w:val="009C1E52"/>
    <w:rsid w:val="009C1FE0"/>
    <w:rsid w:val="009C214E"/>
    <w:rsid w:val="009C28FD"/>
    <w:rsid w:val="009C2AC3"/>
    <w:rsid w:val="009C3848"/>
    <w:rsid w:val="009C3A72"/>
    <w:rsid w:val="009C3BA7"/>
    <w:rsid w:val="009C4183"/>
    <w:rsid w:val="009C4D40"/>
    <w:rsid w:val="009C4F95"/>
    <w:rsid w:val="009C521B"/>
    <w:rsid w:val="009C52E3"/>
    <w:rsid w:val="009C586C"/>
    <w:rsid w:val="009C674F"/>
    <w:rsid w:val="009C6FEA"/>
    <w:rsid w:val="009C7142"/>
    <w:rsid w:val="009C79FD"/>
    <w:rsid w:val="009C7BA1"/>
    <w:rsid w:val="009D0202"/>
    <w:rsid w:val="009D06A9"/>
    <w:rsid w:val="009D0B3F"/>
    <w:rsid w:val="009D0C20"/>
    <w:rsid w:val="009D1241"/>
    <w:rsid w:val="009D1273"/>
    <w:rsid w:val="009D170E"/>
    <w:rsid w:val="009D1EE1"/>
    <w:rsid w:val="009D2F3A"/>
    <w:rsid w:val="009D300A"/>
    <w:rsid w:val="009D3765"/>
    <w:rsid w:val="009D39D2"/>
    <w:rsid w:val="009D3DBE"/>
    <w:rsid w:val="009D3ED3"/>
    <w:rsid w:val="009D4DB9"/>
    <w:rsid w:val="009D509D"/>
    <w:rsid w:val="009D6251"/>
    <w:rsid w:val="009D6716"/>
    <w:rsid w:val="009D692D"/>
    <w:rsid w:val="009D6BC1"/>
    <w:rsid w:val="009D747D"/>
    <w:rsid w:val="009E003F"/>
    <w:rsid w:val="009E0165"/>
    <w:rsid w:val="009E03CA"/>
    <w:rsid w:val="009E0DF1"/>
    <w:rsid w:val="009E1615"/>
    <w:rsid w:val="009E17EE"/>
    <w:rsid w:val="009E19C0"/>
    <w:rsid w:val="009E2D2B"/>
    <w:rsid w:val="009E3302"/>
    <w:rsid w:val="009E35C3"/>
    <w:rsid w:val="009E392F"/>
    <w:rsid w:val="009E40B4"/>
    <w:rsid w:val="009E44C9"/>
    <w:rsid w:val="009E4621"/>
    <w:rsid w:val="009E52BB"/>
    <w:rsid w:val="009E552E"/>
    <w:rsid w:val="009E5BC6"/>
    <w:rsid w:val="009E68D2"/>
    <w:rsid w:val="009E76EB"/>
    <w:rsid w:val="009F064C"/>
    <w:rsid w:val="009F0842"/>
    <w:rsid w:val="009F0CE2"/>
    <w:rsid w:val="009F0FF9"/>
    <w:rsid w:val="009F1A61"/>
    <w:rsid w:val="009F1DCB"/>
    <w:rsid w:val="009F2115"/>
    <w:rsid w:val="009F3448"/>
    <w:rsid w:val="009F3A1C"/>
    <w:rsid w:val="009F3D4C"/>
    <w:rsid w:val="009F48D7"/>
    <w:rsid w:val="009F5151"/>
    <w:rsid w:val="009F541C"/>
    <w:rsid w:val="009F5560"/>
    <w:rsid w:val="009F55CB"/>
    <w:rsid w:val="00A0010C"/>
    <w:rsid w:val="00A0018C"/>
    <w:rsid w:val="00A0041E"/>
    <w:rsid w:val="00A0238F"/>
    <w:rsid w:val="00A025AF"/>
    <w:rsid w:val="00A027C3"/>
    <w:rsid w:val="00A02B2A"/>
    <w:rsid w:val="00A02C68"/>
    <w:rsid w:val="00A02F4A"/>
    <w:rsid w:val="00A0309F"/>
    <w:rsid w:val="00A03161"/>
    <w:rsid w:val="00A03635"/>
    <w:rsid w:val="00A03683"/>
    <w:rsid w:val="00A03FA7"/>
    <w:rsid w:val="00A04512"/>
    <w:rsid w:val="00A04786"/>
    <w:rsid w:val="00A04B5C"/>
    <w:rsid w:val="00A05099"/>
    <w:rsid w:val="00A051A5"/>
    <w:rsid w:val="00A0523F"/>
    <w:rsid w:val="00A05768"/>
    <w:rsid w:val="00A05AD6"/>
    <w:rsid w:val="00A05D95"/>
    <w:rsid w:val="00A061D7"/>
    <w:rsid w:val="00A0659E"/>
    <w:rsid w:val="00A066CA"/>
    <w:rsid w:val="00A07060"/>
    <w:rsid w:val="00A073C9"/>
    <w:rsid w:val="00A07889"/>
    <w:rsid w:val="00A10161"/>
    <w:rsid w:val="00A10229"/>
    <w:rsid w:val="00A10576"/>
    <w:rsid w:val="00A10988"/>
    <w:rsid w:val="00A10A32"/>
    <w:rsid w:val="00A10A6A"/>
    <w:rsid w:val="00A111EC"/>
    <w:rsid w:val="00A136ED"/>
    <w:rsid w:val="00A13A61"/>
    <w:rsid w:val="00A13BF5"/>
    <w:rsid w:val="00A1417E"/>
    <w:rsid w:val="00A14242"/>
    <w:rsid w:val="00A144ED"/>
    <w:rsid w:val="00A14875"/>
    <w:rsid w:val="00A14B03"/>
    <w:rsid w:val="00A14B1E"/>
    <w:rsid w:val="00A154B5"/>
    <w:rsid w:val="00A15B96"/>
    <w:rsid w:val="00A15C60"/>
    <w:rsid w:val="00A16253"/>
    <w:rsid w:val="00A16497"/>
    <w:rsid w:val="00A16B0A"/>
    <w:rsid w:val="00A16CBF"/>
    <w:rsid w:val="00A174D1"/>
    <w:rsid w:val="00A1779C"/>
    <w:rsid w:val="00A17C05"/>
    <w:rsid w:val="00A17D66"/>
    <w:rsid w:val="00A21C0C"/>
    <w:rsid w:val="00A223F6"/>
    <w:rsid w:val="00A22602"/>
    <w:rsid w:val="00A2277F"/>
    <w:rsid w:val="00A229F4"/>
    <w:rsid w:val="00A22AA8"/>
    <w:rsid w:val="00A23362"/>
    <w:rsid w:val="00A23445"/>
    <w:rsid w:val="00A235FA"/>
    <w:rsid w:val="00A23EFE"/>
    <w:rsid w:val="00A24798"/>
    <w:rsid w:val="00A24875"/>
    <w:rsid w:val="00A25284"/>
    <w:rsid w:val="00A258DB"/>
    <w:rsid w:val="00A26298"/>
    <w:rsid w:val="00A2647C"/>
    <w:rsid w:val="00A26F7B"/>
    <w:rsid w:val="00A27212"/>
    <w:rsid w:val="00A2726D"/>
    <w:rsid w:val="00A2755A"/>
    <w:rsid w:val="00A27D62"/>
    <w:rsid w:val="00A30213"/>
    <w:rsid w:val="00A3053A"/>
    <w:rsid w:val="00A30A50"/>
    <w:rsid w:val="00A316CA"/>
    <w:rsid w:val="00A32598"/>
    <w:rsid w:val="00A3333A"/>
    <w:rsid w:val="00A34459"/>
    <w:rsid w:val="00A346C2"/>
    <w:rsid w:val="00A3470E"/>
    <w:rsid w:val="00A34A23"/>
    <w:rsid w:val="00A359BE"/>
    <w:rsid w:val="00A36E23"/>
    <w:rsid w:val="00A36ED1"/>
    <w:rsid w:val="00A372B9"/>
    <w:rsid w:val="00A37595"/>
    <w:rsid w:val="00A37B45"/>
    <w:rsid w:val="00A405B7"/>
    <w:rsid w:val="00A408FF"/>
    <w:rsid w:val="00A409AA"/>
    <w:rsid w:val="00A40C0F"/>
    <w:rsid w:val="00A40C56"/>
    <w:rsid w:val="00A415C3"/>
    <w:rsid w:val="00A415EC"/>
    <w:rsid w:val="00A41D53"/>
    <w:rsid w:val="00A41F50"/>
    <w:rsid w:val="00A427A4"/>
    <w:rsid w:val="00A427FA"/>
    <w:rsid w:val="00A42A59"/>
    <w:rsid w:val="00A42F35"/>
    <w:rsid w:val="00A433BA"/>
    <w:rsid w:val="00A43426"/>
    <w:rsid w:val="00A4351B"/>
    <w:rsid w:val="00A43C6E"/>
    <w:rsid w:val="00A43CB1"/>
    <w:rsid w:val="00A43F26"/>
    <w:rsid w:val="00A44417"/>
    <w:rsid w:val="00A445B7"/>
    <w:rsid w:val="00A45415"/>
    <w:rsid w:val="00A45C79"/>
    <w:rsid w:val="00A45C85"/>
    <w:rsid w:val="00A45EF3"/>
    <w:rsid w:val="00A46118"/>
    <w:rsid w:val="00A4626E"/>
    <w:rsid w:val="00A466EB"/>
    <w:rsid w:val="00A46A26"/>
    <w:rsid w:val="00A47F7B"/>
    <w:rsid w:val="00A507DB"/>
    <w:rsid w:val="00A50E76"/>
    <w:rsid w:val="00A50F11"/>
    <w:rsid w:val="00A5102A"/>
    <w:rsid w:val="00A511B9"/>
    <w:rsid w:val="00A511C5"/>
    <w:rsid w:val="00A51276"/>
    <w:rsid w:val="00A51C82"/>
    <w:rsid w:val="00A51D59"/>
    <w:rsid w:val="00A51E11"/>
    <w:rsid w:val="00A51E95"/>
    <w:rsid w:val="00A52056"/>
    <w:rsid w:val="00A52DDE"/>
    <w:rsid w:val="00A53207"/>
    <w:rsid w:val="00A53495"/>
    <w:rsid w:val="00A5350B"/>
    <w:rsid w:val="00A539E6"/>
    <w:rsid w:val="00A53AC6"/>
    <w:rsid w:val="00A53F2F"/>
    <w:rsid w:val="00A540F0"/>
    <w:rsid w:val="00A54394"/>
    <w:rsid w:val="00A54646"/>
    <w:rsid w:val="00A551B8"/>
    <w:rsid w:val="00A5524A"/>
    <w:rsid w:val="00A5532A"/>
    <w:rsid w:val="00A55469"/>
    <w:rsid w:val="00A554C7"/>
    <w:rsid w:val="00A559FE"/>
    <w:rsid w:val="00A55CC1"/>
    <w:rsid w:val="00A55D76"/>
    <w:rsid w:val="00A55E4D"/>
    <w:rsid w:val="00A5626F"/>
    <w:rsid w:val="00A5650C"/>
    <w:rsid w:val="00A567DD"/>
    <w:rsid w:val="00A56B03"/>
    <w:rsid w:val="00A608CB"/>
    <w:rsid w:val="00A60D5B"/>
    <w:rsid w:val="00A60E26"/>
    <w:rsid w:val="00A613F0"/>
    <w:rsid w:val="00A615E8"/>
    <w:rsid w:val="00A61605"/>
    <w:rsid w:val="00A61631"/>
    <w:rsid w:val="00A61647"/>
    <w:rsid w:val="00A62ACC"/>
    <w:rsid w:val="00A62AD0"/>
    <w:rsid w:val="00A62B91"/>
    <w:rsid w:val="00A63026"/>
    <w:rsid w:val="00A637EB"/>
    <w:rsid w:val="00A64327"/>
    <w:rsid w:val="00A6532E"/>
    <w:rsid w:val="00A65A18"/>
    <w:rsid w:val="00A65CA3"/>
    <w:rsid w:val="00A662D9"/>
    <w:rsid w:val="00A66511"/>
    <w:rsid w:val="00A668BA"/>
    <w:rsid w:val="00A670B3"/>
    <w:rsid w:val="00A67812"/>
    <w:rsid w:val="00A67876"/>
    <w:rsid w:val="00A702AA"/>
    <w:rsid w:val="00A70C8C"/>
    <w:rsid w:val="00A70DF1"/>
    <w:rsid w:val="00A714D1"/>
    <w:rsid w:val="00A72026"/>
    <w:rsid w:val="00A72CA0"/>
    <w:rsid w:val="00A7328C"/>
    <w:rsid w:val="00A735FC"/>
    <w:rsid w:val="00A737B0"/>
    <w:rsid w:val="00A73D96"/>
    <w:rsid w:val="00A73F21"/>
    <w:rsid w:val="00A742C2"/>
    <w:rsid w:val="00A74587"/>
    <w:rsid w:val="00A7493C"/>
    <w:rsid w:val="00A751AA"/>
    <w:rsid w:val="00A753F5"/>
    <w:rsid w:val="00A75CB1"/>
    <w:rsid w:val="00A76119"/>
    <w:rsid w:val="00A76880"/>
    <w:rsid w:val="00A768EF"/>
    <w:rsid w:val="00A76E90"/>
    <w:rsid w:val="00A77142"/>
    <w:rsid w:val="00A7753C"/>
    <w:rsid w:val="00A80334"/>
    <w:rsid w:val="00A80C90"/>
    <w:rsid w:val="00A80E54"/>
    <w:rsid w:val="00A8115F"/>
    <w:rsid w:val="00A818FB"/>
    <w:rsid w:val="00A81DD0"/>
    <w:rsid w:val="00A8254E"/>
    <w:rsid w:val="00A828FC"/>
    <w:rsid w:val="00A82A0A"/>
    <w:rsid w:val="00A833A1"/>
    <w:rsid w:val="00A837FD"/>
    <w:rsid w:val="00A8479A"/>
    <w:rsid w:val="00A84E6E"/>
    <w:rsid w:val="00A85065"/>
    <w:rsid w:val="00A85961"/>
    <w:rsid w:val="00A85CCB"/>
    <w:rsid w:val="00A85D8D"/>
    <w:rsid w:val="00A860E6"/>
    <w:rsid w:val="00A86401"/>
    <w:rsid w:val="00A86611"/>
    <w:rsid w:val="00A8673B"/>
    <w:rsid w:val="00A87016"/>
    <w:rsid w:val="00A8783E"/>
    <w:rsid w:val="00A87E23"/>
    <w:rsid w:val="00A9044F"/>
    <w:rsid w:val="00A9144C"/>
    <w:rsid w:val="00A919C1"/>
    <w:rsid w:val="00A91A03"/>
    <w:rsid w:val="00A9204C"/>
    <w:rsid w:val="00A92690"/>
    <w:rsid w:val="00A927A9"/>
    <w:rsid w:val="00A92EF2"/>
    <w:rsid w:val="00A93DF2"/>
    <w:rsid w:val="00A93FC1"/>
    <w:rsid w:val="00A94808"/>
    <w:rsid w:val="00A95499"/>
    <w:rsid w:val="00A9581A"/>
    <w:rsid w:val="00A95D3E"/>
    <w:rsid w:val="00A962DA"/>
    <w:rsid w:val="00A96638"/>
    <w:rsid w:val="00A97421"/>
    <w:rsid w:val="00A97617"/>
    <w:rsid w:val="00A976AE"/>
    <w:rsid w:val="00AA057E"/>
    <w:rsid w:val="00AA08D0"/>
    <w:rsid w:val="00AA11D6"/>
    <w:rsid w:val="00AA1D90"/>
    <w:rsid w:val="00AA1F40"/>
    <w:rsid w:val="00AA1FF6"/>
    <w:rsid w:val="00AA25AD"/>
    <w:rsid w:val="00AA27BA"/>
    <w:rsid w:val="00AA2981"/>
    <w:rsid w:val="00AA2A6D"/>
    <w:rsid w:val="00AA3194"/>
    <w:rsid w:val="00AA3405"/>
    <w:rsid w:val="00AA466B"/>
    <w:rsid w:val="00AA4AE8"/>
    <w:rsid w:val="00AA5650"/>
    <w:rsid w:val="00AA58DA"/>
    <w:rsid w:val="00AA5929"/>
    <w:rsid w:val="00AA5F7E"/>
    <w:rsid w:val="00AA62CA"/>
    <w:rsid w:val="00AA6912"/>
    <w:rsid w:val="00AA71F4"/>
    <w:rsid w:val="00AA7347"/>
    <w:rsid w:val="00AA73EC"/>
    <w:rsid w:val="00AB003A"/>
    <w:rsid w:val="00AB03B3"/>
    <w:rsid w:val="00AB0450"/>
    <w:rsid w:val="00AB09F1"/>
    <w:rsid w:val="00AB0B42"/>
    <w:rsid w:val="00AB0BBC"/>
    <w:rsid w:val="00AB0C2D"/>
    <w:rsid w:val="00AB0DFC"/>
    <w:rsid w:val="00AB193B"/>
    <w:rsid w:val="00AB1D2A"/>
    <w:rsid w:val="00AB2D23"/>
    <w:rsid w:val="00AB3A1F"/>
    <w:rsid w:val="00AB4B42"/>
    <w:rsid w:val="00AB4C0C"/>
    <w:rsid w:val="00AB547B"/>
    <w:rsid w:val="00AB55CE"/>
    <w:rsid w:val="00AB58B3"/>
    <w:rsid w:val="00AB5AD1"/>
    <w:rsid w:val="00AB5E26"/>
    <w:rsid w:val="00AB6517"/>
    <w:rsid w:val="00AB69AA"/>
    <w:rsid w:val="00AB6E8B"/>
    <w:rsid w:val="00AB79F7"/>
    <w:rsid w:val="00AB7CC6"/>
    <w:rsid w:val="00AC027C"/>
    <w:rsid w:val="00AC0D87"/>
    <w:rsid w:val="00AC172C"/>
    <w:rsid w:val="00AC228C"/>
    <w:rsid w:val="00AC2FD2"/>
    <w:rsid w:val="00AC3E5D"/>
    <w:rsid w:val="00AC422E"/>
    <w:rsid w:val="00AC46B2"/>
    <w:rsid w:val="00AC472B"/>
    <w:rsid w:val="00AC4862"/>
    <w:rsid w:val="00AC4B38"/>
    <w:rsid w:val="00AC4D18"/>
    <w:rsid w:val="00AC587E"/>
    <w:rsid w:val="00AC5AD7"/>
    <w:rsid w:val="00AC5B18"/>
    <w:rsid w:val="00AC5C08"/>
    <w:rsid w:val="00AC5C97"/>
    <w:rsid w:val="00AC6404"/>
    <w:rsid w:val="00AC6700"/>
    <w:rsid w:val="00AC692A"/>
    <w:rsid w:val="00AC6B2D"/>
    <w:rsid w:val="00AC6E77"/>
    <w:rsid w:val="00AC778C"/>
    <w:rsid w:val="00AC7B8B"/>
    <w:rsid w:val="00AD1473"/>
    <w:rsid w:val="00AD15ED"/>
    <w:rsid w:val="00AD1956"/>
    <w:rsid w:val="00AD1C68"/>
    <w:rsid w:val="00AD1FD8"/>
    <w:rsid w:val="00AD2647"/>
    <w:rsid w:val="00AD3AC7"/>
    <w:rsid w:val="00AD40B8"/>
    <w:rsid w:val="00AD49BB"/>
    <w:rsid w:val="00AD50F7"/>
    <w:rsid w:val="00AD5E37"/>
    <w:rsid w:val="00AD5F3C"/>
    <w:rsid w:val="00AD65C3"/>
    <w:rsid w:val="00AD7103"/>
    <w:rsid w:val="00AD7B27"/>
    <w:rsid w:val="00AE07D5"/>
    <w:rsid w:val="00AE1686"/>
    <w:rsid w:val="00AE1782"/>
    <w:rsid w:val="00AE1825"/>
    <w:rsid w:val="00AE1B5E"/>
    <w:rsid w:val="00AE3015"/>
    <w:rsid w:val="00AE3E40"/>
    <w:rsid w:val="00AE3F7C"/>
    <w:rsid w:val="00AE42C7"/>
    <w:rsid w:val="00AE4721"/>
    <w:rsid w:val="00AE490C"/>
    <w:rsid w:val="00AE4DA8"/>
    <w:rsid w:val="00AE62BE"/>
    <w:rsid w:val="00AE6812"/>
    <w:rsid w:val="00AE6D56"/>
    <w:rsid w:val="00AE6DAD"/>
    <w:rsid w:val="00AE7385"/>
    <w:rsid w:val="00AE7BA8"/>
    <w:rsid w:val="00AE7C8D"/>
    <w:rsid w:val="00AE7E6B"/>
    <w:rsid w:val="00AF06C0"/>
    <w:rsid w:val="00AF0AEE"/>
    <w:rsid w:val="00AF0C9E"/>
    <w:rsid w:val="00AF0D18"/>
    <w:rsid w:val="00AF0DB2"/>
    <w:rsid w:val="00AF1281"/>
    <w:rsid w:val="00AF160D"/>
    <w:rsid w:val="00AF1843"/>
    <w:rsid w:val="00AF1897"/>
    <w:rsid w:val="00AF1BA9"/>
    <w:rsid w:val="00AF1CA0"/>
    <w:rsid w:val="00AF1CB3"/>
    <w:rsid w:val="00AF1FCD"/>
    <w:rsid w:val="00AF3340"/>
    <w:rsid w:val="00AF38C8"/>
    <w:rsid w:val="00AF3931"/>
    <w:rsid w:val="00AF39BC"/>
    <w:rsid w:val="00AF3E1F"/>
    <w:rsid w:val="00AF4566"/>
    <w:rsid w:val="00AF4FCD"/>
    <w:rsid w:val="00AF5222"/>
    <w:rsid w:val="00AF5234"/>
    <w:rsid w:val="00AF52D1"/>
    <w:rsid w:val="00AF567B"/>
    <w:rsid w:val="00AF572C"/>
    <w:rsid w:val="00AF6BB2"/>
    <w:rsid w:val="00AF6C51"/>
    <w:rsid w:val="00AF6D43"/>
    <w:rsid w:val="00B007FD"/>
    <w:rsid w:val="00B00DA0"/>
    <w:rsid w:val="00B01E56"/>
    <w:rsid w:val="00B02914"/>
    <w:rsid w:val="00B02A58"/>
    <w:rsid w:val="00B02F04"/>
    <w:rsid w:val="00B03334"/>
    <w:rsid w:val="00B0382D"/>
    <w:rsid w:val="00B04C07"/>
    <w:rsid w:val="00B05188"/>
    <w:rsid w:val="00B05618"/>
    <w:rsid w:val="00B057C3"/>
    <w:rsid w:val="00B0588D"/>
    <w:rsid w:val="00B05C6D"/>
    <w:rsid w:val="00B05F31"/>
    <w:rsid w:val="00B06027"/>
    <w:rsid w:val="00B06A93"/>
    <w:rsid w:val="00B06B8B"/>
    <w:rsid w:val="00B06FC2"/>
    <w:rsid w:val="00B073F9"/>
    <w:rsid w:val="00B0740C"/>
    <w:rsid w:val="00B07924"/>
    <w:rsid w:val="00B07A3C"/>
    <w:rsid w:val="00B10277"/>
    <w:rsid w:val="00B10B3D"/>
    <w:rsid w:val="00B10CC4"/>
    <w:rsid w:val="00B116C5"/>
    <w:rsid w:val="00B12427"/>
    <w:rsid w:val="00B12B5E"/>
    <w:rsid w:val="00B12E8B"/>
    <w:rsid w:val="00B134A1"/>
    <w:rsid w:val="00B13E6A"/>
    <w:rsid w:val="00B144ED"/>
    <w:rsid w:val="00B154FE"/>
    <w:rsid w:val="00B15804"/>
    <w:rsid w:val="00B1580B"/>
    <w:rsid w:val="00B15A0F"/>
    <w:rsid w:val="00B1611D"/>
    <w:rsid w:val="00B16148"/>
    <w:rsid w:val="00B162CC"/>
    <w:rsid w:val="00B16472"/>
    <w:rsid w:val="00B16B49"/>
    <w:rsid w:val="00B1776D"/>
    <w:rsid w:val="00B17941"/>
    <w:rsid w:val="00B20860"/>
    <w:rsid w:val="00B20EB8"/>
    <w:rsid w:val="00B216DE"/>
    <w:rsid w:val="00B22FF1"/>
    <w:rsid w:val="00B23506"/>
    <w:rsid w:val="00B23A68"/>
    <w:rsid w:val="00B23FDC"/>
    <w:rsid w:val="00B24544"/>
    <w:rsid w:val="00B24CA8"/>
    <w:rsid w:val="00B24D66"/>
    <w:rsid w:val="00B254CC"/>
    <w:rsid w:val="00B26289"/>
    <w:rsid w:val="00B2633D"/>
    <w:rsid w:val="00B266CA"/>
    <w:rsid w:val="00B26A46"/>
    <w:rsid w:val="00B26EEE"/>
    <w:rsid w:val="00B26FE6"/>
    <w:rsid w:val="00B27204"/>
    <w:rsid w:val="00B27363"/>
    <w:rsid w:val="00B27CEA"/>
    <w:rsid w:val="00B30267"/>
    <w:rsid w:val="00B30515"/>
    <w:rsid w:val="00B3086C"/>
    <w:rsid w:val="00B309F9"/>
    <w:rsid w:val="00B31018"/>
    <w:rsid w:val="00B3130A"/>
    <w:rsid w:val="00B3143B"/>
    <w:rsid w:val="00B3177E"/>
    <w:rsid w:val="00B32510"/>
    <w:rsid w:val="00B3289F"/>
    <w:rsid w:val="00B332F7"/>
    <w:rsid w:val="00B33589"/>
    <w:rsid w:val="00B33880"/>
    <w:rsid w:val="00B33B3E"/>
    <w:rsid w:val="00B33D72"/>
    <w:rsid w:val="00B34FDD"/>
    <w:rsid w:val="00B35D17"/>
    <w:rsid w:val="00B35FA1"/>
    <w:rsid w:val="00B36001"/>
    <w:rsid w:val="00B361B4"/>
    <w:rsid w:val="00B36509"/>
    <w:rsid w:val="00B365F5"/>
    <w:rsid w:val="00B3662A"/>
    <w:rsid w:val="00B36A2A"/>
    <w:rsid w:val="00B36A5D"/>
    <w:rsid w:val="00B36C48"/>
    <w:rsid w:val="00B37044"/>
    <w:rsid w:val="00B371D5"/>
    <w:rsid w:val="00B3726C"/>
    <w:rsid w:val="00B376A4"/>
    <w:rsid w:val="00B379FE"/>
    <w:rsid w:val="00B400B2"/>
    <w:rsid w:val="00B400D6"/>
    <w:rsid w:val="00B40659"/>
    <w:rsid w:val="00B409F9"/>
    <w:rsid w:val="00B40D5E"/>
    <w:rsid w:val="00B416F4"/>
    <w:rsid w:val="00B41A55"/>
    <w:rsid w:val="00B4210D"/>
    <w:rsid w:val="00B42525"/>
    <w:rsid w:val="00B42749"/>
    <w:rsid w:val="00B42949"/>
    <w:rsid w:val="00B429F6"/>
    <w:rsid w:val="00B43533"/>
    <w:rsid w:val="00B4385B"/>
    <w:rsid w:val="00B4398B"/>
    <w:rsid w:val="00B44044"/>
    <w:rsid w:val="00B44585"/>
    <w:rsid w:val="00B44F44"/>
    <w:rsid w:val="00B45138"/>
    <w:rsid w:val="00B454B1"/>
    <w:rsid w:val="00B45640"/>
    <w:rsid w:val="00B45D34"/>
    <w:rsid w:val="00B45D5D"/>
    <w:rsid w:val="00B467D1"/>
    <w:rsid w:val="00B468AD"/>
    <w:rsid w:val="00B46EE4"/>
    <w:rsid w:val="00B47557"/>
    <w:rsid w:val="00B47819"/>
    <w:rsid w:val="00B47F53"/>
    <w:rsid w:val="00B47FCB"/>
    <w:rsid w:val="00B503F0"/>
    <w:rsid w:val="00B50C0F"/>
    <w:rsid w:val="00B51779"/>
    <w:rsid w:val="00B523FB"/>
    <w:rsid w:val="00B52EB3"/>
    <w:rsid w:val="00B53204"/>
    <w:rsid w:val="00B53926"/>
    <w:rsid w:val="00B53ED1"/>
    <w:rsid w:val="00B540A7"/>
    <w:rsid w:val="00B549BF"/>
    <w:rsid w:val="00B54E6D"/>
    <w:rsid w:val="00B551B0"/>
    <w:rsid w:val="00B553AD"/>
    <w:rsid w:val="00B554B8"/>
    <w:rsid w:val="00B55794"/>
    <w:rsid w:val="00B55DAD"/>
    <w:rsid w:val="00B565BF"/>
    <w:rsid w:val="00B5677F"/>
    <w:rsid w:val="00B56906"/>
    <w:rsid w:val="00B56B79"/>
    <w:rsid w:val="00B57195"/>
    <w:rsid w:val="00B573B5"/>
    <w:rsid w:val="00B5768F"/>
    <w:rsid w:val="00B576A2"/>
    <w:rsid w:val="00B601E7"/>
    <w:rsid w:val="00B60BAD"/>
    <w:rsid w:val="00B6250D"/>
    <w:rsid w:val="00B62733"/>
    <w:rsid w:val="00B63609"/>
    <w:rsid w:val="00B637EF"/>
    <w:rsid w:val="00B63C5C"/>
    <w:rsid w:val="00B644B5"/>
    <w:rsid w:val="00B64614"/>
    <w:rsid w:val="00B64620"/>
    <w:rsid w:val="00B647FA"/>
    <w:rsid w:val="00B6507B"/>
    <w:rsid w:val="00B6549A"/>
    <w:rsid w:val="00B655D5"/>
    <w:rsid w:val="00B65933"/>
    <w:rsid w:val="00B660BE"/>
    <w:rsid w:val="00B66242"/>
    <w:rsid w:val="00B66768"/>
    <w:rsid w:val="00B66EF8"/>
    <w:rsid w:val="00B67E99"/>
    <w:rsid w:val="00B67EDA"/>
    <w:rsid w:val="00B70542"/>
    <w:rsid w:val="00B70AA2"/>
    <w:rsid w:val="00B726F5"/>
    <w:rsid w:val="00B72B0F"/>
    <w:rsid w:val="00B72D35"/>
    <w:rsid w:val="00B72F27"/>
    <w:rsid w:val="00B732CE"/>
    <w:rsid w:val="00B7358E"/>
    <w:rsid w:val="00B73AB7"/>
    <w:rsid w:val="00B73E6C"/>
    <w:rsid w:val="00B74447"/>
    <w:rsid w:val="00B75147"/>
    <w:rsid w:val="00B755DE"/>
    <w:rsid w:val="00B7617E"/>
    <w:rsid w:val="00B761CC"/>
    <w:rsid w:val="00B76A9B"/>
    <w:rsid w:val="00B76BD9"/>
    <w:rsid w:val="00B778A8"/>
    <w:rsid w:val="00B778CA"/>
    <w:rsid w:val="00B77B01"/>
    <w:rsid w:val="00B77BB0"/>
    <w:rsid w:val="00B77BF7"/>
    <w:rsid w:val="00B77FC3"/>
    <w:rsid w:val="00B80456"/>
    <w:rsid w:val="00B80C96"/>
    <w:rsid w:val="00B80D18"/>
    <w:rsid w:val="00B815E7"/>
    <w:rsid w:val="00B81AF0"/>
    <w:rsid w:val="00B82024"/>
    <w:rsid w:val="00B8210B"/>
    <w:rsid w:val="00B827B5"/>
    <w:rsid w:val="00B82EC5"/>
    <w:rsid w:val="00B82F2F"/>
    <w:rsid w:val="00B83022"/>
    <w:rsid w:val="00B834CB"/>
    <w:rsid w:val="00B85673"/>
    <w:rsid w:val="00B85F07"/>
    <w:rsid w:val="00B86385"/>
    <w:rsid w:val="00B86D43"/>
    <w:rsid w:val="00B86E1B"/>
    <w:rsid w:val="00B8760C"/>
    <w:rsid w:val="00B87B6A"/>
    <w:rsid w:val="00B87F25"/>
    <w:rsid w:val="00B90045"/>
    <w:rsid w:val="00B9071B"/>
    <w:rsid w:val="00B90D6A"/>
    <w:rsid w:val="00B911C3"/>
    <w:rsid w:val="00B91388"/>
    <w:rsid w:val="00B915FB"/>
    <w:rsid w:val="00B91952"/>
    <w:rsid w:val="00B92622"/>
    <w:rsid w:val="00B92E58"/>
    <w:rsid w:val="00B93CAF"/>
    <w:rsid w:val="00B93DC4"/>
    <w:rsid w:val="00B94927"/>
    <w:rsid w:val="00B94C65"/>
    <w:rsid w:val="00B94D1E"/>
    <w:rsid w:val="00B94D40"/>
    <w:rsid w:val="00B954CF"/>
    <w:rsid w:val="00B9555B"/>
    <w:rsid w:val="00B95952"/>
    <w:rsid w:val="00B968DB"/>
    <w:rsid w:val="00B96D23"/>
    <w:rsid w:val="00B97236"/>
    <w:rsid w:val="00B9747E"/>
    <w:rsid w:val="00B97827"/>
    <w:rsid w:val="00B97B4E"/>
    <w:rsid w:val="00BA007F"/>
    <w:rsid w:val="00BA0211"/>
    <w:rsid w:val="00BA073D"/>
    <w:rsid w:val="00BA09DB"/>
    <w:rsid w:val="00BA0FF2"/>
    <w:rsid w:val="00BA101F"/>
    <w:rsid w:val="00BA224D"/>
    <w:rsid w:val="00BA2443"/>
    <w:rsid w:val="00BA2C42"/>
    <w:rsid w:val="00BA3195"/>
    <w:rsid w:val="00BA319C"/>
    <w:rsid w:val="00BA3331"/>
    <w:rsid w:val="00BA345B"/>
    <w:rsid w:val="00BA3572"/>
    <w:rsid w:val="00BA3CE6"/>
    <w:rsid w:val="00BA4323"/>
    <w:rsid w:val="00BA458F"/>
    <w:rsid w:val="00BA49B2"/>
    <w:rsid w:val="00BA504A"/>
    <w:rsid w:val="00BA5EF6"/>
    <w:rsid w:val="00BA65F5"/>
    <w:rsid w:val="00BA6818"/>
    <w:rsid w:val="00BA6BEC"/>
    <w:rsid w:val="00BA6C1A"/>
    <w:rsid w:val="00BA78E8"/>
    <w:rsid w:val="00BA7D29"/>
    <w:rsid w:val="00BA7E82"/>
    <w:rsid w:val="00BB10CC"/>
    <w:rsid w:val="00BB1147"/>
    <w:rsid w:val="00BB12D0"/>
    <w:rsid w:val="00BB192D"/>
    <w:rsid w:val="00BB1953"/>
    <w:rsid w:val="00BB1E4A"/>
    <w:rsid w:val="00BB2094"/>
    <w:rsid w:val="00BB2588"/>
    <w:rsid w:val="00BB28D1"/>
    <w:rsid w:val="00BB2C50"/>
    <w:rsid w:val="00BB2F37"/>
    <w:rsid w:val="00BB3467"/>
    <w:rsid w:val="00BB3852"/>
    <w:rsid w:val="00BB3ECC"/>
    <w:rsid w:val="00BB3FDC"/>
    <w:rsid w:val="00BB4B28"/>
    <w:rsid w:val="00BB4BC6"/>
    <w:rsid w:val="00BB4D25"/>
    <w:rsid w:val="00BB54BE"/>
    <w:rsid w:val="00BB54D9"/>
    <w:rsid w:val="00BB5FE1"/>
    <w:rsid w:val="00BB64EA"/>
    <w:rsid w:val="00BB6A47"/>
    <w:rsid w:val="00BB6F7F"/>
    <w:rsid w:val="00BB7961"/>
    <w:rsid w:val="00BB7ACE"/>
    <w:rsid w:val="00BC0283"/>
    <w:rsid w:val="00BC06BA"/>
    <w:rsid w:val="00BC081B"/>
    <w:rsid w:val="00BC1938"/>
    <w:rsid w:val="00BC29C8"/>
    <w:rsid w:val="00BC2A43"/>
    <w:rsid w:val="00BC3485"/>
    <w:rsid w:val="00BC3CCB"/>
    <w:rsid w:val="00BC47EE"/>
    <w:rsid w:val="00BC54E7"/>
    <w:rsid w:val="00BC55F3"/>
    <w:rsid w:val="00BC7116"/>
    <w:rsid w:val="00BC743D"/>
    <w:rsid w:val="00BC7558"/>
    <w:rsid w:val="00BC79C8"/>
    <w:rsid w:val="00BD0886"/>
    <w:rsid w:val="00BD0B11"/>
    <w:rsid w:val="00BD1225"/>
    <w:rsid w:val="00BD12CC"/>
    <w:rsid w:val="00BD1BF4"/>
    <w:rsid w:val="00BD2272"/>
    <w:rsid w:val="00BD22BA"/>
    <w:rsid w:val="00BD30DB"/>
    <w:rsid w:val="00BD325C"/>
    <w:rsid w:val="00BD3935"/>
    <w:rsid w:val="00BD3A1E"/>
    <w:rsid w:val="00BD49DB"/>
    <w:rsid w:val="00BD4B39"/>
    <w:rsid w:val="00BD51AF"/>
    <w:rsid w:val="00BD544A"/>
    <w:rsid w:val="00BD587C"/>
    <w:rsid w:val="00BD598F"/>
    <w:rsid w:val="00BD5DF0"/>
    <w:rsid w:val="00BD5E6C"/>
    <w:rsid w:val="00BD665D"/>
    <w:rsid w:val="00BD6ED6"/>
    <w:rsid w:val="00BD78FB"/>
    <w:rsid w:val="00BE0335"/>
    <w:rsid w:val="00BE0527"/>
    <w:rsid w:val="00BE07D5"/>
    <w:rsid w:val="00BE0ED9"/>
    <w:rsid w:val="00BE1837"/>
    <w:rsid w:val="00BE1C47"/>
    <w:rsid w:val="00BE1F50"/>
    <w:rsid w:val="00BE27AB"/>
    <w:rsid w:val="00BE2BB0"/>
    <w:rsid w:val="00BE2DE6"/>
    <w:rsid w:val="00BE32C1"/>
    <w:rsid w:val="00BE35FE"/>
    <w:rsid w:val="00BE3624"/>
    <w:rsid w:val="00BE3F5A"/>
    <w:rsid w:val="00BE3FC2"/>
    <w:rsid w:val="00BE4579"/>
    <w:rsid w:val="00BE462F"/>
    <w:rsid w:val="00BE468E"/>
    <w:rsid w:val="00BE5159"/>
    <w:rsid w:val="00BE59CD"/>
    <w:rsid w:val="00BE5A1B"/>
    <w:rsid w:val="00BE5C04"/>
    <w:rsid w:val="00BE60B0"/>
    <w:rsid w:val="00BE65DE"/>
    <w:rsid w:val="00BE6637"/>
    <w:rsid w:val="00BE66FB"/>
    <w:rsid w:val="00BE6738"/>
    <w:rsid w:val="00BE6AFE"/>
    <w:rsid w:val="00BE6D17"/>
    <w:rsid w:val="00BE6D4F"/>
    <w:rsid w:val="00BE6F2F"/>
    <w:rsid w:val="00BE756C"/>
    <w:rsid w:val="00BE77DD"/>
    <w:rsid w:val="00BE7BCC"/>
    <w:rsid w:val="00BF0345"/>
    <w:rsid w:val="00BF18B0"/>
    <w:rsid w:val="00BF1C80"/>
    <w:rsid w:val="00BF23FD"/>
    <w:rsid w:val="00BF2511"/>
    <w:rsid w:val="00BF269E"/>
    <w:rsid w:val="00BF2797"/>
    <w:rsid w:val="00BF2E46"/>
    <w:rsid w:val="00BF3684"/>
    <w:rsid w:val="00BF382D"/>
    <w:rsid w:val="00BF39D3"/>
    <w:rsid w:val="00BF3CC0"/>
    <w:rsid w:val="00BF4434"/>
    <w:rsid w:val="00BF469F"/>
    <w:rsid w:val="00BF4E2B"/>
    <w:rsid w:val="00BF52EC"/>
    <w:rsid w:val="00BF5412"/>
    <w:rsid w:val="00BF5CAC"/>
    <w:rsid w:val="00BF628D"/>
    <w:rsid w:val="00BF6654"/>
    <w:rsid w:val="00BF69B6"/>
    <w:rsid w:val="00BF6A1B"/>
    <w:rsid w:val="00BF6A90"/>
    <w:rsid w:val="00BF6F1A"/>
    <w:rsid w:val="00BF711C"/>
    <w:rsid w:val="00BF722A"/>
    <w:rsid w:val="00BF7C60"/>
    <w:rsid w:val="00BF7F1E"/>
    <w:rsid w:val="00C00DF1"/>
    <w:rsid w:val="00C0103D"/>
    <w:rsid w:val="00C017EB"/>
    <w:rsid w:val="00C01A3B"/>
    <w:rsid w:val="00C01DC2"/>
    <w:rsid w:val="00C0250A"/>
    <w:rsid w:val="00C03C4D"/>
    <w:rsid w:val="00C03D88"/>
    <w:rsid w:val="00C04B66"/>
    <w:rsid w:val="00C04C4E"/>
    <w:rsid w:val="00C04E9B"/>
    <w:rsid w:val="00C05785"/>
    <w:rsid w:val="00C05871"/>
    <w:rsid w:val="00C0655B"/>
    <w:rsid w:val="00C06737"/>
    <w:rsid w:val="00C06E5A"/>
    <w:rsid w:val="00C06F2C"/>
    <w:rsid w:val="00C073EF"/>
    <w:rsid w:val="00C074D0"/>
    <w:rsid w:val="00C07DEB"/>
    <w:rsid w:val="00C10CCF"/>
    <w:rsid w:val="00C114DC"/>
    <w:rsid w:val="00C11FE4"/>
    <w:rsid w:val="00C13117"/>
    <w:rsid w:val="00C14646"/>
    <w:rsid w:val="00C14A20"/>
    <w:rsid w:val="00C14F7A"/>
    <w:rsid w:val="00C15155"/>
    <w:rsid w:val="00C15170"/>
    <w:rsid w:val="00C15C7E"/>
    <w:rsid w:val="00C168C6"/>
    <w:rsid w:val="00C1778C"/>
    <w:rsid w:val="00C20177"/>
    <w:rsid w:val="00C20651"/>
    <w:rsid w:val="00C2123B"/>
    <w:rsid w:val="00C214AB"/>
    <w:rsid w:val="00C21C27"/>
    <w:rsid w:val="00C222AA"/>
    <w:rsid w:val="00C22985"/>
    <w:rsid w:val="00C23077"/>
    <w:rsid w:val="00C23636"/>
    <w:rsid w:val="00C23811"/>
    <w:rsid w:val="00C23F13"/>
    <w:rsid w:val="00C24B64"/>
    <w:rsid w:val="00C25116"/>
    <w:rsid w:val="00C2547A"/>
    <w:rsid w:val="00C2638C"/>
    <w:rsid w:val="00C265A0"/>
    <w:rsid w:val="00C266E2"/>
    <w:rsid w:val="00C267D3"/>
    <w:rsid w:val="00C26B38"/>
    <w:rsid w:val="00C273E8"/>
    <w:rsid w:val="00C27DCD"/>
    <w:rsid w:val="00C30A97"/>
    <w:rsid w:val="00C31349"/>
    <w:rsid w:val="00C31AF7"/>
    <w:rsid w:val="00C322A8"/>
    <w:rsid w:val="00C3274D"/>
    <w:rsid w:val="00C33082"/>
    <w:rsid w:val="00C333B9"/>
    <w:rsid w:val="00C34103"/>
    <w:rsid w:val="00C34505"/>
    <w:rsid w:val="00C347EE"/>
    <w:rsid w:val="00C352D8"/>
    <w:rsid w:val="00C3538B"/>
    <w:rsid w:val="00C356A7"/>
    <w:rsid w:val="00C35F79"/>
    <w:rsid w:val="00C362D3"/>
    <w:rsid w:val="00C36570"/>
    <w:rsid w:val="00C36870"/>
    <w:rsid w:val="00C3692A"/>
    <w:rsid w:val="00C36DFF"/>
    <w:rsid w:val="00C36EEC"/>
    <w:rsid w:val="00C37466"/>
    <w:rsid w:val="00C403D7"/>
    <w:rsid w:val="00C407F8"/>
    <w:rsid w:val="00C408F9"/>
    <w:rsid w:val="00C40922"/>
    <w:rsid w:val="00C413DD"/>
    <w:rsid w:val="00C41462"/>
    <w:rsid w:val="00C41683"/>
    <w:rsid w:val="00C41774"/>
    <w:rsid w:val="00C4279B"/>
    <w:rsid w:val="00C4344A"/>
    <w:rsid w:val="00C435AD"/>
    <w:rsid w:val="00C435C3"/>
    <w:rsid w:val="00C43D95"/>
    <w:rsid w:val="00C44032"/>
    <w:rsid w:val="00C44650"/>
    <w:rsid w:val="00C45498"/>
    <w:rsid w:val="00C4564F"/>
    <w:rsid w:val="00C45821"/>
    <w:rsid w:val="00C45B78"/>
    <w:rsid w:val="00C45B97"/>
    <w:rsid w:val="00C46954"/>
    <w:rsid w:val="00C46C4E"/>
    <w:rsid w:val="00C46D61"/>
    <w:rsid w:val="00C47C7F"/>
    <w:rsid w:val="00C47C93"/>
    <w:rsid w:val="00C5025F"/>
    <w:rsid w:val="00C50D93"/>
    <w:rsid w:val="00C510A1"/>
    <w:rsid w:val="00C51214"/>
    <w:rsid w:val="00C516E9"/>
    <w:rsid w:val="00C51942"/>
    <w:rsid w:val="00C51C64"/>
    <w:rsid w:val="00C51D76"/>
    <w:rsid w:val="00C522A4"/>
    <w:rsid w:val="00C5251C"/>
    <w:rsid w:val="00C52575"/>
    <w:rsid w:val="00C527E1"/>
    <w:rsid w:val="00C529FF"/>
    <w:rsid w:val="00C52D3B"/>
    <w:rsid w:val="00C5304A"/>
    <w:rsid w:val="00C5304F"/>
    <w:rsid w:val="00C53092"/>
    <w:rsid w:val="00C53A07"/>
    <w:rsid w:val="00C53F4D"/>
    <w:rsid w:val="00C54341"/>
    <w:rsid w:val="00C54B92"/>
    <w:rsid w:val="00C54C82"/>
    <w:rsid w:val="00C54F07"/>
    <w:rsid w:val="00C554F0"/>
    <w:rsid w:val="00C55954"/>
    <w:rsid w:val="00C55E4F"/>
    <w:rsid w:val="00C5606C"/>
    <w:rsid w:val="00C56351"/>
    <w:rsid w:val="00C577BB"/>
    <w:rsid w:val="00C57B1E"/>
    <w:rsid w:val="00C600CD"/>
    <w:rsid w:val="00C6047F"/>
    <w:rsid w:val="00C60928"/>
    <w:rsid w:val="00C60BED"/>
    <w:rsid w:val="00C623C2"/>
    <w:rsid w:val="00C62BA2"/>
    <w:rsid w:val="00C62BD9"/>
    <w:rsid w:val="00C6350F"/>
    <w:rsid w:val="00C63A22"/>
    <w:rsid w:val="00C63AB4"/>
    <w:rsid w:val="00C63BAA"/>
    <w:rsid w:val="00C64219"/>
    <w:rsid w:val="00C6425D"/>
    <w:rsid w:val="00C6471E"/>
    <w:rsid w:val="00C64BBD"/>
    <w:rsid w:val="00C65A2A"/>
    <w:rsid w:val="00C65CCA"/>
    <w:rsid w:val="00C65E81"/>
    <w:rsid w:val="00C663A0"/>
    <w:rsid w:val="00C66F34"/>
    <w:rsid w:val="00C66F76"/>
    <w:rsid w:val="00C675E4"/>
    <w:rsid w:val="00C67A50"/>
    <w:rsid w:val="00C67C52"/>
    <w:rsid w:val="00C67F05"/>
    <w:rsid w:val="00C67F7D"/>
    <w:rsid w:val="00C70406"/>
    <w:rsid w:val="00C70986"/>
    <w:rsid w:val="00C70C8E"/>
    <w:rsid w:val="00C7187E"/>
    <w:rsid w:val="00C7254A"/>
    <w:rsid w:val="00C72850"/>
    <w:rsid w:val="00C7362B"/>
    <w:rsid w:val="00C73AB1"/>
    <w:rsid w:val="00C74514"/>
    <w:rsid w:val="00C7585F"/>
    <w:rsid w:val="00C765F1"/>
    <w:rsid w:val="00C76969"/>
    <w:rsid w:val="00C77929"/>
    <w:rsid w:val="00C80796"/>
    <w:rsid w:val="00C80876"/>
    <w:rsid w:val="00C80DA5"/>
    <w:rsid w:val="00C80E82"/>
    <w:rsid w:val="00C80FBC"/>
    <w:rsid w:val="00C81746"/>
    <w:rsid w:val="00C81780"/>
    <w:rsid w:val="00C81AB3"/>
    <w:rsid w:val="00C81B84"/>
    <w:rsid w:val="00C81F11"/>
    <w:rsid w:val="00C8255B"/>
    <w:rsid w:val="00C8263B"/>
    <w:rsid w:val="00C82966"/>
    <w:rsid w:val="00C82C6C"/>
    <w:rsid w:val="00C82EBC"/>
    <w:rsid w:val="00C833C7"/>
    <w:rsid w:val="00C833E0"/>
    <w:rsid w:val="00C8350F"/>
    <w:rsid w:val="00C83DA2"/>
    <w:rsid w:val="00C84702"/>
    <w:rsid w:val="00C84BDE"/>
    <w:rsid w:val="00C857EF"/>
    <w:rsid w:val="00C86203"/>
    <w:rsid w:val="00C86646"/>
    <w:rsid w:val="00C86A07"/>
    <w:rsid w:val="00C86A33"/>
    <w:rsid w:val="00C876EF"/>
    <w:rsid w:val="00C878A5"/>
    <w:rsid w:val="00C87F27"/>
    <w:rsid w:val="00C90C75"/>
    <w:rsid w:val="00C90D4E"/>
    <w:rsid w:val="00C916D3"/>
    <w:rsid w:val="00C91849"/>
    <w:rsid w:val="00C91A5E"/>
    <w:rsid w:val="00C920DF"/>
    <w:rsid w:val="00C936D3"/>
    <w:rsid w:val="00C93FE7"/>
    <w:rsid w:val="00C9467C"/>
    <w:rsid w:val="00C95047"/>
    <w:rsid w:val="00C9567D"/>
    <w:rsid w:val="00C9588B"/>
    <w:rsid w:val="00C97097"/>
    <w:rsid w:val="00C97479"/>
    <w:rsid w:val="00C976B0"/>
    <w:rsid w:val="00C9798E"/>
    <w:rsid w:val="00C97A35"/>
    <w:rsid w:val="00CA061A"/>
    <w:rsid w:val="00CA0696"/>
    <w:rsid w:val="00CA0F13"/>
    <w:rsid w:val="00CA11C4"/>
    <w:rsid w:val="00CA1304"/>
    <w:rsid w:val="00CA18D1"/>
    <w:rsid w:val="00CA1C06"/>
    <w:rsid w:val="00CA1E1A"/>
    <w:rsid w:val="00CA268E"/>
    <w:rsid w:val="00CA2733"/>
    <w:rsid w:val="00CA28D7"/>
    <w:rsid w:val="00CA354F"/>
    <w:rsid w:val="00CA3A8D"/>
    <w:rsid w:val="00CA3C6C"/>
    <w:rsid w:val="00CA53CD"/>
    <w:rsid w:val="00CA56BE"/>
    <w:rsid w:val="00CA5946"/>
    <w:rsid w:val="00CA5989"/>
    <w:rsid w:val="00CA5B8B"/>
    <w:rsid w:val="00CA6D5A"/>
    <w:rsid w:val="00CA701E"/>
    <w:rsid w:val="00CA773D"/>
    <w:rsid w:val="00CA79CC"/>
    <w:rsid w:val="00CA7A81"/>
    <w:rsid w:val="00CA7BCB"/>
    <w:rsid w:val="00CB01D5"/>
    <w:rsid w:val="00CB038C"/>
    <w:rsid w:val="00CB072C"/>
    <w:rsid w:val="00CB0A27"/>
    <w:rsid w:val="00CB1011"/>
    <w:rsid w:val="00CB16A0"/>
    <w:rsid w:val="00CB199D"/>
    <w:rsid w:val="00CB1A1E"/>
    <w:rsid w:val="00CB1C7A"/>
    <w:rsid w:val="00CB204E"/>
    <w:rsid w:val="00CB2211"/>
    <w:rsid w:val="00CB2C13"/>
    <w:rsid w:val="00CB3013"/>
    <w:rsid w:val="00CB30EC"/>
    <w:rsid w:val="00CB366D"/>
    <w:rsid w:val="00CB3D36"/>
    <w:rsid w:val="00CB3EAD"/>
    <w:rsid w:val="00CB4E50"/>
    <w:rsid w:val="00CB4EAE"/>
    <w:rsid w:val="00CB54E3"/>
    <w:rsid w:val="00CB5739"/>
    <w:rsid w:val="00CB5950"/>
    <w:rsid w:val="00CB5B06"/>
    <w:rsid w:val="00CB5FB0"/>
    <w:rsid w:val="00CB6886"/>
    <w:rsid w:val="00CB688D"/>
    <w:rsid w:val="00CB6D64"/>
    <w:rsid w:val="00CB702F"/>
    <w:rsid w:val="00CB7BDF"/>
    <w:rsid w:val="00CC01E8"/>
    <w:rsid w:val="00CC10C0"/>
    <w:rsid w:val="00CC2386"/>
    <w:rsid w:val="00CC2438"/>
    <w:rsid w:val="00CC2B33"/>
    <w:rsid w:val="00CC2E0B"/>
    <w:rsid w:val="00CC31C9"/>
    <w:rsid w:val="00CC33E8"/>
    <w:rsid w:val="00CC3441"/>
    <w:rsid w:val="00CC35B0"/>
    <w:rsid w:val="00CC35C1"/>
    <w:rsid w:val="00CC394B"/>
    <w:rsid w:val="00CC45E6"/>
    <w:rsid w:val="00CC480B"/>
    <w:rsid w:val="00CC5992"/>
    <w:rsid w:val="00CC6DD0"/>
    <w:rsid w:val="00CC6E4C"/>
    <w:rsid w:val="00CC6E93"/>
    <w:rsid w:val="00CC78FB"/>
    <w:rsid w:val="00CC7EA7"/>
    <w:rsid w:val="00CD0191"/>
    <w:rsid w:val="00CD02FA"/>
    <w:rsid w:val="00CD08C3"/>
    <w:rsid w:val="00CD0EEE"/>
    <w:rsid w:val="00CD1C3F"/>
    <w:rsid w:val="00CD2944"/>
    <w:rsid w:val="00CD2E93"/>
    <w:rsid w:val="00CD2ED6"/>
    <w:rsid w:val="00CD2F50"/>
    <w:rsid w:val="00CD301D"/>
    <w:rsid w:val="00CD3DFF"/>
    <w:rsid w:val="00CD3FAE"/>
    <w:rsid w:val="00CD3FE0"/>
    <w:rsid w:val="00CD40D4"/>
    <w:rsid w:val="00CD418D"/>
    <w:rsid w:val="00CD470F"/>
    <w:rsid w:val="00CD4E99"/>
    <w:rsid w:val="00CD5817"/>
    <w:rsid w:val="00CD5A8C"/>
    <w:rsid w:val="00CD5C2F"/>
    <w:rsid w:val="00CD5E2D"/>
    <w:rsid w:val="00CD61CB"/>
    <w:rsid w:val="00CD68E0"/>
    <w:rsid w:val="00CD7154"/>
    <w:rsid w:val="00CD72C5"/>
    <w:rsid w:val="00CD74F7"/>
    <w:rsid w:val="00CD7806"/>
    <w:rsid w:val="00CE01FF"/>
    <w:rsid w:val="00CE049A"/>
    <w:rsid w:val="00CE0755"/>
    <w:rsid w:val="00CE13E5"/>
    <w:rsid w:val="00CE14C5"/>
    <w:rsid w:val="00CE1833"/>
    <w:rsid w:val="00CE21DD"/>
    <w:rsid w:val="00CE2E89"/>
    <w:rsid w:val="00CE422A"/>
    <w:rsid w:val="00CE45CF"/>
    <w:rsid w:val="00CE4936"/>
    <w:rsid w:val="00CE4A2D"/>
    <w:rsid w:val="00CE4A34"/>
    <w:rsid w:val="00CE6A88"/>
    <w:rsid w:val="00CE6C94"/>
    <w:rsid w:val="00CE70E3"/>
    <w:rsid w:val="00CE7374"/>
    <w:rsid w:val="00CE7C57"/>
    <w:rsid w:val="00CE7EFC"/>
    <w:rsid w:val="00CF0A52"/>
    <w:rsid w:val="00CF1ADF"/>
    <w:rsid w:val="00CF285D"/>
    <w:rsid w:val="00CF328B"/>
    <w:rsid w:val="00CF3732"/>
    <w:rsid w:val="00CF3D01"/>
    <w:rsid w:val="00CF4C1C"/>
    <w:rsid w:val="00CF5014"/>
    <w:rsid w:val="00CF56D1"/>
    <w:rsid w:val="00CF5A8E"/>
    <w:rsid w:val="00CF66E6"/>
    <w:rsid w:val="00CF70DA"/>
    <w:rsid w:val="00CF71FB"/>
    <w:rsid w:val="00CF7664"/>
    <w:rsid w:val="00CF7B62"/>
    <w:rsid w:val="00D009BA"/>
    <w:rsid w:val="00D01126"/>
    <w:rsid w:val="00D01342"/>
    <w:rsid w:val="00D02AB1"/>
    <w:rsid w:val="00D0301E"/>
    <w:rsid w:val="00D03616"/>
    <w:rsid w:val="00D04089"/>
    <w:rsid w:val="00D042D0"/>
    <w:rsid w:val="00D04651"/>
    <w:rsid w:val="00D04B37"/>
    <w:rsid w:val="00D060AE"/>
    <w:rsid w:val="00D0631F"/>
    <w:rsid w:val="00D0668B"/>
    <w:rsid w:val="00D067AE"/>
    <w:rsid w:val="00D0706E"/>
    <w:rsid w:val="00D072F8"/>
    <w:rsid w:val="00D07EE9"/>
    <w:rsid w:val="00D10759"/>
    <w:rsid w:val="00D10857"/>
    <w:rsid w:val="00D11299"/>
    <w:rsid w:val="00D11520"/>
    <w:rsid w:val="00D11CFF"/>
    <w:rsid w:val="00D11D6D"/>
    <w:rsid w:val="00D11FE9"/>
    <w:rsid w:val="00D1266A"/>
    <w:rsid w:val="00D12A6F"/>
    <w:rsid w:val="00D12EEA"/>
    <w:rsid w:val="00D13112"/>
    <w:rsid w:val="00D13A6B"/>
    <w:rsid w:val="00D147C3"/>
    <w:rsid w:val="00D153A8"/>
    <w:rsid w:val="00D15885"/>
    <w:rsid w:val="00D1591B"/>
    <w:rsid w:val="00D15A88"/>
    <w:rsid w:val="00D16037"/>
    <w:rsid w:val="00D1705B"/>
    <w:rsid w:val="00D173F8"/>
    <w:rsid w:val="00D1767D"/>
    <w:rsid w:val="00D200A1"/>
    <w:rsid w:val="00D200D5"/>
    <w:rsid w:val="00D209CF"/>
    <w:rsid w:val="00D20AC0"/>
    <w:rsid w:val="00D211CB"/>
    <w:rsid w:val="00D213BC"/>
    <w:rsid w:val="00D21649"/>
    <w:rsid w:val="00D21726"/>
    <w:rsid w:val="00D21C7B"/>
    <w:rsid w:val="00D21E71"/>
    <w:rsid w:val="00D21FCA"/>
    <w:rsid w:val="00D2212C"/>
    <w:rsid w:val="00D22AA4"/>
    <w:rsid w:val="00D22DCE"/>
    <w:rsid w:val="00D230E5"/>
    <w:rsid w:val="00D23791"/>
    <w:rsid w:val="00D238E5"/>
    <w:rsid w:val="00D23F20"/>
    <w:rsid w:val="00D24250"/>
    <w:rsid w:val="00D242DC"/>
    <w:rsid w:val="00D245CE"/>
    <w:rsid w:val="00D24A0D"/>
    <w:rsid w:val="00D24BD5"/>
    <w:rsid w:val="00D255D9"/>
    <w:rsid w:val="00D258D6"/>
    <w:rsid w:val="00D266FA"/>
    <w:rsid w:val="00D26D71"/>
    <w:rsid w:val="00D272EF"/>
    <w:rsid w:val="00D275B9"/>
    <w:rsid w:val="00D27A23"/>
    <w:rsid w:val="00D300D0"/>
    <w:rsid w:val="00D3033E"/>
    <w:rsid w:val="00D30464"/>
    <w:rsid w:val="00D30954"/>
    <w:rsid w:val="00D3244C"/>
    <w:rsid w:val="00D32AEA"/>
    <w:rsid w:val="00D32E46"/>
    <w:rsid w:val="00D331DF"/>
    <w:rsid w:val="00D33711"/>
    <w:rsid w:val="00D34D58"/>
    <w:rsid w:val="00D3518B"/>
    <w:rsid w:val="00D354E0"/>
    <w:rsid w:val="00D35F3E"/>
    <w:rsid w:val="00D360D0"/>
    <w:rsid w:val="00D3656E"/>
    <w:rsid w:val="00D36E9C"/>
    <w:rsid w:val="00D3731E"/>
    <w:rsid w:val="00D376D5"/>
    <w:rsid w:val="00D3770F"/>
    <w:rsid w:val="00D37995"/>
    <w:rsid w:val="00D37A7C"/>
    <w:rsid w:val="00D37B27"/>
    <w:rsid w:val="00D40173"/>
    <w:rsid w:val="00D40556"/>
    <w:rsid w:val="00D40635"/>
    <w:rsid w:val="00D40A5F"/>
    <w:rsid w:val="00D41851"/>
    <w:rsid w:val="00D41FE2"/>
    <w:rsid w:val="00D424A9"/>
    <w:rsid w:val="00D42B2A"/>
    <w:rsid w:val="00D42DF9"/>
    <w:rsid w:val="00D43513"/>
    <w:rsid w:val="00D43529"/>
    <w:rsid w:val="00D435C3"/>
    <w:rsid w:val="00D446B4"/>
    <w:rsid w:val="00D44EFB"/>
    <w:rsid w:val="00D4505D"/>
    <w:rsid w:val="00D45195"/>
    <w:rsid w:val="00D4525C"/>
    <w:rsid w:val="00D45705"/>
    <w:rsid w:val="00D45A54"/>
    <w:rsid w:val="00D462E7"/>
    <w:rsid w:val="00D46552"/>
    <w:rsid w:val="00D468CA"/>
    <w:rsid w:val="00D46919"/>
    <w:rsid w:val="00D46E12"/>
    <w:rsid w:val="00D470B7"/>
    <w:rsid w:val="00D4715A"/>
    <w:rsid w:val="00D47886"/>
    <w:rsid w:val="00D47AAF"/>
    <w:rsid w:val="00D47ECD"/>
    <w:rsid w:val="00D504AA"/>
    <w:rsid w:val="00D5095B"/>
    <w:rsid w:val="00D51069"/>
    <w:rsid w:val="00D51099"/>
    <w:rsid w:val="00D5117F"/>
    <w:rsid w:val="00D52238"/>
    <w:rsid w:val="00D52341"/>
    <w:rsid w:val="00D528BC"/>
    <w:rsid w:val="00D52C93"/>
    <w:rsid w:val="00D53E63"/>
    <w:rsid w:val="00D53F08"/>
    <w:rsid w:val="00D54433"/>
    <w:rsid w:val="00D544B8"/>
    <w:rsid w:val="00D56739"/>
    <w:rsid w:val="00D567BC"/>
    <w:rsid w:val="00D57188"/>
    <w:rsid w:val="00D57875"/>
    <w:rsid w:val="00D60D48"/>
    <w:rsid w:val="00D60FD1"/>
    <w:rsid w:val="00D6114A"/>
    <w:rsid w:val="00D61770"/>
    <w:rsid w:val="00D618B7"/>
    <w:rsid w:val="00D62441"/>
    <w:rsid w:val="00D62452"/>
    <w:rsid w:val="00D6372F"/>
    <w:rsid w:val="00D638D7"/>
    <w:rsid w:val="00D63D3A"/>
    <w:rsid w:val="00D63E83"/>
    <w:rsid w:val="00D64477"/>
    <w:rsid w:val="00D64E42"/>
    <w:rsid w:val="00D65685"/>
    <w:rsid w:val="00D65FEE"/>
    <w:rsid w:val="00D6667C"/>
    <w:rsid w:val="00D6677D"/>
    <w:rsid w:val="00D66995"/>
    <w:rsid w:val="00D66CDF"/>
    <w:rsid w:val="00D67329"/>
    <w:rsid w:val="00D675AC"/>
    <w:rsid w:val="00D67AE9"/>
    <w:rsid w:val="00D67BE7"/>
    <w:rsid w:val="00D70283"/>
    <w:rsid w:val="00D705B3"/>
    <w:rsid w:val="00D70BD6"/>
    <w:rsid w:val="00D70EBD"/>
    <w:rsid w:val="00D71206"/>
    <w:rsid w:val="00D7133B"/>
    <w:rsid w:val="00D713CB"/>
    <w:rsid w:val="00D722C1"/>
    <w:rsid w:val="00D7244B"/>
    <w:rsid w:val="00D7291C"/>
    <w:rsid w:val="00D730DD"/>
    <w:rsid w:val="00D7360E"/>
    <w:rsid w:val="00D747BA"/>
    <w:rsid w:val="00D7565F"/>
    <w:rsid w:val="00D75883"/>
    <w:rsid w:val="00D7649F"/>
    <w:rsid w:val="00D766E5"/>
    <w:rsid w:val="00D76737"/>
    <w:rsid w:val="00D76A90"/>
    <w:rsid w:val="00D76AAB"/>
    <w:rsid w:val="00D771F4"/>
    <w:rsid w:val="00D7750B"/>
    <w:rsid w:val="00D77E43"/>
    <w:rsid w:val="00D77F26"/>
    <w:rsid w:val="00D8050D"/>
    <w:rsid w:val="00D80DFB"/>
    <w:rsid w:val="00D8124D"/>
    <w:rsid w:val="00D81476"/>
    <w:rsid w:val="00D81D76"/>
    <w:rsid w:val="00D824E0"/>
    <w:rsid w:val="00D82605"/>
    <w:rsid w:val="00D82815"/>
    <w:rsid w:val="00D828D6"/>
    <w:rsid w:val="00D83635"/>
    <w:rsid w:val="00D83731"/>
    <w:rsid w:val="00D83B92"/>
    <w:rsid w:val="00D83CB3"/>
    <w:rsid w:val="00D83EF5"/>
    <w:rsid w:val="00D8469B"/>
    <w:rsid w:val="00D84EFE"/>
    <w:rsid w:val="00D85090"/>
    <w:rsid w:val="00D851F7"/>
    <w:rsid w:val="00D8522C"/>
    <w:rsid w:val="00D8590E"/>
    <w:rsid w:val="00D8596F"/>
    <w:rsid w:val="00D85C99"/>
    <w:rsid w:val="00D85EA2"/>
    <w:rsid w:val="00D862D1"/>
    <w:rsid w:val="00D87006"/>
    <w:rsid w:val="00D87337"/>
    <w:rsid w:val="00D87DD8"/>
    <w:rsid w:val="00D9038E"/>
    <w:rsid w:val="00D904B6"/>
    <w:rsid w:val="00D90DD7"/>
    <w:rsid w:val="00D90FBC"/>
    <w:rsid w:val="00D91C96"/>
    <w:rsid w:val="00D9374B"/>
    <w:rsid w:val="00D93B26"/>
    <w:rsid w:val="00D93F0C"/>
    <w:rsid w:val="00D94221"/>
    <w:rsid w:val="00D94308"/>
    <w:rsid w:val="00D9432B"/>
    <w:rsid w:val="00D94CA1"/>
    <w:rsid w:val="00D94EAF"/>
    <w:rsid w:val="00D95872"/>
    <w:rsid w:val="00D95AF8"/>
    <w:rsid w:val="00D95CAF"/>
    <w:rsid w:val="00D95F35"/>
    <w:rsid w:val="00D9660C"/>
    <w:rsid w:val="00D96EBD"/>
    <w:rsid w:val="00D96FAE"/>
    <w:rsid w:val="00D9746C"/>
    <w:rsid w:val="00D97624"/>
    <w:rsid w:val="00D97633"/>
    <w:rsid w:val="00D97A46"/>
    <w:rsid w:val="00DA0375"/>
    <w:rsid w:val="00DA068E"/>
    <w:rsid w:val="00DA06D5"/>
    <w:rsid w:val="00DA0C35"/>
    <w:rsid w:val="00DA0C62"/>
    <w:rsid w:val="00DA10F5"/>
    <w:rsid w:val="00DA1657"/>
    <w:rsid w:val="00DA16BE"/>
    <w:rsid w:val="00DA188B"/>
    <w:rsid w:val="00DA1D2A"/>
    <w:rsid w:val="00DA2D22"/>
    <w:rsid w:val="00DA2DF3"/>
    <w:rsid w:val="00DA30D5"/>
    <w:rsid w:val="00DA3E0E"/>
    <w:rsid w:val="00DA47D2"/>
    <w:rsid w:val="00DA484A"/>
    <w:rsid w:val="00DA4984"/>
    <w:rsid w:val="00DA5400"/>
    <w:rsid w:val="00DA589B"/>
    <w:rsid w:val="00DA5EF9"/>
    <w:rsid w:val="00DA6D2D"/>
    <w:rsid w:val="00DA7694"/>
    <w:rsid w:val="00DA76F2"/>
    <w:rsid w:val="00DA7C67"/>
    <w:rsid w:val="00DA7C93"/>
    <w:rsid w:val="00DB09F1"/>
    <w:rsid w:val="00DB18C2"/>
    <w:rsid w:val="00DB1AA5"/>
    <w:rsid w:val="00DB1C8B"/>
    <w:rsid w:val="00DB1CAC"/>
    <w:rsid w:val="00DB208F"/>
    <w:rsid w:val="00DB2445"/>
    <w:rsid w:val="00DB2468"/>
    <w:rsid w:val="00DB24C0"/>
    <w:rsid w:val="00DB26C4"/>
    <w:rsid w:val="00DB26FA"/>
    <w:rsid w:val="00DB273F"/>
    <w:rsid w:val="00DB285F"/>
    <w:rsid w:val="00DB2B35"/>
    <w:rsid w:val="00DB3009"/>
    <w:rsid w:val="00DB3017"/>
    <w:rsid w:val="00DB3247"/>
    <w:rsid w:val="00DB3320"/>
    <w:rsid w:val="00DB3641"/>
    <w:rsid w:val="00DB3724"/>
    <w:rsid w:val="00DB4163"/>
    <w:rsid w:val="00DB4967"/>
    <w:rsid w:val="00DB4BD9"/>
    <w:rsid w:val="00DB527E"/>
    <w:rsid w:val="00DB5AE3"/>
    <w:rsid w:val="00DB5F4E"/>
    <w:rsid w:val="00DB66FB"/>
    <w:rsid w:val="00DB6733"/>
    <w:rsid w:val="00DB695D"/>
    <w:rsid w:val="00DB6E19"/>
    <w:rsid w:val="00DB70D7"/>
    <w:rsid w:val="00DB7C29"/>
    <w:rsid w:val="00DB7C55"/>
    <w:rsid w:val="00DC0455"/>
    <w:rsid w:val="00DC0BC4"/>
    <w:rsid w:val="00DC0E9E"/>
    <w:rsid w:val="00DC22EF"/>
    <w:rsid w:val="00DC2452"/>
    <w:rsid w:val="00DC2936"/>
    <w:rsid w:val="00DC3209"/>
    <w:rsid w:val="00DC3310"/>
    <w:rsid w:val="00DC34D3"/>
    <w:rsid w:val="00DC3910"/>
    <w:rsid w:val="00DC42EF"/>
    <w:rsid w:val="00DC4883"/>
    <w:rsid w:val="00DC4E9A"/>
    <w:rsid w:val="00DC523C"/>
    <w:rsid w:val="00DC5308"/>
    <w:rsid w:val="00DC5388"/>
    <w:rsid w:val="00DC59DA"/>
    <w:rsid w:val="00DC5D63"/>
    <w:rsid w:val="00DC5F07"/>
    <w:rsid w:val="00DC6048"/>
    <w:rsid w:val="00DC61B9"/>
    <w:rsid w:val="00DC694A"/>
    <w:rsid w:val="00DC69DE"/>
    <w:rsid w:val="00DC6E28"/>
    <w:rsid w:val="00DC733C"/>
    <w:rsid w:val="00DC75F6"/>
    <w:rsid w:val="00DD02F5"/>
    <w:rsid w:val="00DD12D6"/>
    <w:rsid w:val="00DD184E"/>
    <w:rsid w:val="00DD1B3C"/>
    <w:rsid w:val="00DD1BB8"/>
    <w:rsid w:val="00DD27B3"/>
    <w:rsid w:val="00DD29E4"/>
    <w:rsid w:val="00DD2B32"/>
    <w:rsid w:val="00DD2BE9"/>
    <w:rsid w:val="00DD2E0E"/>
    <w:rsid w:val="00DD2FD2"/>
    <w:rsid w:val="00DD2FE1"/>
    <w:rsid w:val="00DD369E"/>
    <w:rsid w:val="00DD4573"/>
    <w:rsid w:val="00DD4D06"/>
    <w:rsid w:val="00DD52F2"/>
    <w:rsid w:val="00DD54A3"/>
    <w:rsid w:val="00DD5545"/>
    <w:rsid w:val="00DD578B"/>
    <w:rsid w:val="00DD5884"/>
    <w:rsid w:val="00DD5E50"/>
    <w:rsid w:val="00DD5FEC"/>
    <w:rsid w:val="00DD68EA"/>
    <w:rsid w:val="00DD7087"/>
    <w:rsid w:val="00DD76A1"/>
    <w:rsid w:val="00DD798E"/>
    <w:rsid w:val="00DD7C2F"/>
    <w:rsid w:val="00DD7D32"/>
    <w:rsid w:val="00DE0427"/>
    <w:rsid w:val="00DE0713"/>
    <w:rsid w:val="00DE0F08"/>
    <w:rsid w:val="00DE1581"/>
    <w:rsid w:val="00DE15A3"/>
    <w:rsid w:val="00DE1F8A"/>
    <w:rsid w:val="00DE22CE"/>
    <w:rsid w:val="00DE2BD7"/>
    <w:rsid w:val="00DE3A46"/>
    <w:rsid w:val="00DE3FAD"/>
    <w:rsid w:val="00DE429E"/>
    <w:rsid w:val="00DE478D"/>
    <w:rsid w:val="00DE4996"/>
    <w:rsid w:val="00DE4A0F"/>
    <w:rsid w:val="00DE4DA3"/>
    <w:rsid w:val="00DE4FFC"/>
    <w:rsid w:val="00DE5763"/>
    <w:rsid w:val="00DE57D3"/>
    <w:rsid w:val="00DE5A66"/>
    <w:rsid w:val="00DE5ED0"/>
    <w:rsid w:val="00DE632F"/>
    <w:rsid w:val="00DE63B7"/>
    <w:rsid w:val="00DE6827"/>
    <w:rsid w:val="00DE6D1E"/>
    <w:rsid w:val="00DE73BE"/>
    <w:rsid w:val="00DE7530"/>
    <w:rsid w:val="00DE793B"/>
    <w:rsid w:val="00DF05DE"/>
    <w:rsid w:val="00DF07B2"/>
    <w:rsid w:val="00DF09CD"/>
    <w:rsid w:val="00DF0B40"/>
    <w:rsid w:val="00DF1ABB"/>
    <w:rsid w:val="00DF1E04"/>
    <w:rsid w:val="00DF25B1"/>
    <w:rsid w:val="00DF2802"/>
    <w:rsid w:val="00DF2C84"/>
    <w:rsid w:val="00DF2E63"/>
    <w:rsid w:val="00DF338C"/>
    <w:rsid w:val="00DF3544"/>
    <w:rsid w:val="00DF3A20"/>
    <w:rsid w:val="00DF3C92"/>
    <w:rsid w:val="00DF4B04"/>
    <w:rsid w:val="00DF5784"/>
    <w:rsid w:val="00DF5CA4"/>
    <w:rsid w:val="00DF6AEC"/>
    <w:rsid w:val="00DF70F2"/>
    <w:rsid w:val="00DF72B1"/>
    <w:rsid w:val="00DF79A8"/>
    <w:rsid w:val="00DF7AAD"/>
    <w:rsid w:val="00DF7ADF"/>
    <w:rsid w:val="00DF7BC5"/>
    <w:rsid w:val="00DF7D5D"/>
    <w:rsid w:val="00E0060C"/>
    <w:rsid w:val="00E00C12"/>
    <w:rsid w:val="00E01B3D"/>
    <w:rsid w:val="00E02185"/>
    <w:rsid w:val="00E021AD"/>
    <w:rsid w:val="00E022BF"/>
    <w:rsid w:val="00E0279C"/>
    <w:rsid w:val="00E02FD8"/>
    <w:rsid w:val="00E03032"/>
    <w:rsid w:val="00E038B8"/>
    <w:rsid w:val="00E038FA"/>
    <w:rsid w:val="00E03C67"/>
    <w:rsid w:val="00E0414A"/>
    <w:rsid w:val="00E04179"/>
    <w:rsid w:val="00E04647"/>
    <w:rsid w:val="00E048EC"/>
    <w:rsid w:val="00E05443"/>
    <w:rsid w:val="00E05836"/>
    <w:rsid w:val="00E06DCC"/>
    <w:rsid w:val="00E06EBD"/>
    <w:rsid w:val="00E07175"/>
    <w:rsid w:val="00E073E6"/>
    <w:rsid w:val="00E07693"/>
    <w:rsid w:val="00E102DE"/>
    <w:rsid w:val="00E109B5"/>
    <w:rsid w:val="00E109F4"/>
    <w:rsid w:val="00E10D1C"/>
    <w:rsid w:val="00E11655"/>
    <w:rsid w:val="00E125EF"/>
    <w:rsid w:val="00E12BAD"/>
    <w:rsid w:val="00E12C64"/>
    <w:rsid w:val="00E1310C"/>
    <w:rsid w:val="00E138DE"/>
    <w:rsid w:val="00E13CFA"/>
    <w:rsid w:val="00E13E59"/>
    <w:rsid w:val="00E13E5E"/>
    <w:rsid w:val="00E13F61"/>
    <w:rsid w:val="00E14087"/>
    <w:rsid w:val="00E145E1"/>
    <w:rsid w:val="00E1482E"/>
    <w:rsid w:val="00E14B6D"/>
    <w:rsid w:val="00E16255"/>
    <w:rsid w:val="00E16266"/>
    <w:rsid w:val="00E16B0C"/>
    <w:rsid w:val="00E16DBE"/>
    <w:rsid w:val="00E20CF4"/>
    <w:rsid w:val="00E213A4"/>
    <w:rsid w:val="00E218F9"/>
    <w:rsid w:val="00E21C57"/>
    <w:rsid w:val="00E21D34"/>
    <w:rsid w:val="00E22057"/>
    <w:rsid w:val="00E22C19"/>
    <w:rsid w:val="00E22EB0"/>
    <w:rsid w:val="00E23066"/>
    <w:rsid w:val="00E2321A"/>
    <w:rsid w:val="00E23397"/>
    <w:rsid w:val="00E234CC"/>
    <w:rsid w:val="00E23FA0"/>
    <w:rsid w:val="00E2431C"/>
    <w:rsid w:val="00E24FBF"/>
    <w:rsid w:val="00E2511C"/>
    <w:rsid w:val="00E25B65"/>
    <w:rsid w:val="00E26A86"/>
    <w:rsid w:val="00E26C95"/>
    <w:rsid w:val="00E273EC"/>
    <w:rsid w:val="00E27696"/>
    <w:rsid w:val="00E279EC"/>
    <w:rsid w:val="00E27EBF"/>
    <w:rsid w:val="00E304EA"/>
    <w:rsid w:val="00E30ED7"/>
    <w:rsid w:val="00E3124D"/>
    <w:rsid w:val="00E31B15"/>
    <w:rsid w:val="00E3227C"/>
    <w:rsid w:val="00E332A1"/>
    <w:rsid w:val="00E342CE"/>
    <w:rsid w:val="00E34A12"/>
    <w:rsid w:val="00E35309"/>
    <w:rsid w:val="00E359EC"/>
    <w:rsid w:val="00E361BC"/>
    <w:rsid w:val="00E36608"/>
    <w:rsid w:val="00E366AE"/>
    <w:rsid w:val="00E36849"/>
    <w:rsid w:val="00E36D2B"/>
    <w:rsid w:val="00E37626"/>
    <w:rsid w:val="00E37669"/>
    <w:rsid w:val="00E378D5"/>
    <w:rsid w:val="00E37BBF"/>
    <w:rsid w:val="00E40129"/>
    <w:rsid w:val="00E4074E"/>
    <w:rsid w:val="00E40946"/>
    <w:rsid w:val="00E40D37"/>
    <w:rsid w:val="00E411F6"/>
    <w:rsid w:val="00E4151F"/>
    <w:rsid w:val="00E42503"/>
    <w:rsid w:val="00E43537"/>
    <w:rsid w:val="00E435BA"/>
    <w:rsid w:val="00E43CE3"/>
    <w:rsid w:val="00E43F5C"/>
    <w:rsid w:val="00E44576"/>
    <w:rsid w:val="00E44C79"/>
    <w:rsid w:val="00E44EFA"/>
    <w:rsid w:val="00E44F7B"/>
    <w:rsid w:val="00E451EC"/>
    <w:rsid w:val="00E457D8"/>
    <w:rsid w:val="00E457DF"/>
    <w:rsid w:val="00E4621C"/>
    <w:rsid w:val="00E46287"/>
    <w:rsid w:val="00E46404"/>
    <w:rsid w:val="00E4647C"/>
    <w:rsid w:val="00E469A3"/>
    <w:rsid w:val="00E46D4A"/>
    <w:rsid w:val="00E47DC4"/>
    <w:rsid w:val="00E500A4"/>
    <w:rsid w:val="00E507B3"/>
    <w:rsid w:val="00E50CC5"/>
    <w:rsid w:val="00E51677"/>
    <w:rsid w:val="00E52033"/>
    <w:rsid w:val="00E527CE"/>
    <w:rsid w:val="00E52ACB"/>
    <w:rsid w:val="00E52E63"/>
    <w:rsid w:val="00E52EDB"/>
    <w:rsid w:val="00E53239"/>
    <w:rsid w:val="00E54214"/>
    <w:rsid w:val="00E54415"/>
    <w:rsid w:val="00E546B7"/>
    <w:rsid w:val="00E54941"/>
    <w:rsid w:val="00E54C70"/>
    <w:rsid w:val="00E55069"/>
    <w:rsid w:val="00E5537D"/>
    <w:rsid w:val="00E55BE7"/>
    <w:rsid w:val="00E56400"/>
    <w:rsid w:val="00E5692C"/>
    <w:rsid w:val="00E56B23"/>
    <w:rsid w:val="00E56F36"/>
    <w:rsid w:val="00E5702B"/>
    <w:rsid w:val="00E57285"/>
    <w:rsid w:val="00E578D7"/>
    <w:rsid w:val="00E57BC7"/>
    <w:rsid w:val="00E57F63"/>
    <w:rsid w:val="00E57FD2"/>
    <w:rsid w:val="00E609D0"/>
    <w:rsid w:val="00E60FCB"/>
    <w:rsid w:val="00E6169F"/>
    <w:rsid w:val="00E61958"/>
    <w:rsid w:val="00E61961"/>
    <w:rsid w:val="00E61BA8"/>
    <w:rsid w:val="00E61C4C"/>
    <w:rsid w:val="00E61E44"/>
    <w:rsid w:val="00E62DFE"/>
    <w:rsid w:val="00E62EDF"/>
    <w:rsid w:val="00E62F98"/>
    <w:rsid w:val="00E62FD7"/>
    <w:rsid w:val="00E63014"/>
    <w:rsid w:val="00E6321C"/>
    <w:rsid w:val="00E63D9B"/>
    <w:rsid w:val="00E64AB2"/>
    <w:rsid w:val="00E64F49"/>
    <w:rsid w:val="00E65506"/>
    <w:rsid w:val="00E658F1"/>
    <w:rsid w:val="00E66423"/>
    <w:rsid w:val="00E66974"/>
    <w:rsid w:val="00E67235"/>
    <w:rsid w:val="00E67249"/>
    <w:rsid w:val="00E67361"/>
    <w:rsid w:val="00E67E67"/>
    <w:rsid w:val="00E7083C"/>
    <w:rsid w:val="00E70931"/>
    <w:rsid w:val="00E70B6A"/>
    <w:rsid w:val="00E71520"/>
    <w:rsid w:val="00E7191D"/>
    <w:rsid w:val="00E7241E"/>
    <w:rsid w:val="00E72F56"/>
    <w:rsid w:val="00E73103"/>
    <w:rsid w:val="00E73AF6"/>
    <w:rsid w:val="00E73B97"/>
    <w:rsid w:val="00E73F01"/>
    <w:rsid w:val="00E74347"/>
    <w:rsid w:val="00E74655"/>
    <w:rsid w:val="00E74F5F"/>
    <w:rsid w:val="00E76861"/>
    <w:rsid w:val="00E76A2C"/>
    <w:rsid w:val="00E76CC4"/>
    <w:rsid w:val="00E81F9F"/>
    <w:rsid w:val="00E8203D"/>
    <w:rsid w:val="00E820A1"/>
    <w:rsid w:val="00E823CE"/>
    <w:rsid w:val="00E827E9"/>
    <w:rsid w:val="00E8302B"/>
    <w:rsid w:val="00E83516"/>
    <w:rsid w:val="00E83645"/>
    <w:rsid w:val="00E8372C"/>
    <w:rsid w:val="00E83A6F"/>
    <w:rsid w:val="00E83B36"/>
    <w:rsid w:val="00E842A2"/>
    <w:rsid w:val="00E84F6F"/>
    <w:rsid w:val="00E8500E"/>
    <w:rsid w:val="00E85212"/>
    <w:rsid w:val="00E86562"/>
    <w:rsid w:val="00E86607"/>
    <w:rsid w:val="00E867A5"/>
    <w:rsid w:val="00E86F8E"/>
    <w:rsid w:val="00E873D0"/>
    <w:rsid w:val="00E87A0C"/>
    <w:rsid w:val="00E87BD7"/>
    <w:rsid w:val="00E87D74"/>
    <w:rsid w:val="00E87F4A"/>
    <w:rsid w:val="00E9034A"/>
    <w:rsid w:val="00E90591"/>
    <w:rsid w:val="00E90A7B"/>
    <w:rsid w:val="00E90F58"/>
    <w:rsid w:val="00E91225"/>
    <w:rsid w:val="00E91822"/>
    <w:rsid w:val="00E91910"/>
    <w:rsid w:val="00E92261"/>
    <w:rsid w:val="00E92284"/>
    <w:rsid w:val="00E92361"/>
    <w:rsid w:val="00E932C8"/>
    <w:rsid w:val="00E933F7"/>
    <w:rsid w:val="00E94A01"/>
    <w:rsid w:val="00E94E4B"/>
    <w:rsid w:val="00E94F6F"/>
    <w:rsid w:val="00E94FDC"/>
    <w:rsid w:val="00E95732"/>
    <w:rsid w:val="00E95932"/>
    <w:rsid w:val="00E95A6A"/>
    <w:rsid w:val="00E962A5"/>
    <w:rsid w:val="00E964AB"/>
    <w:rsid w:val="00E966F4"/>
    <w:rsid w:val="00E96C8E"/>
    <w:rsid w:val="00E97146"/>
    <w:rsid w:val="00E9740C"/>
    <w:rsid w:val="00E97477"/>
    <w:rsid w:val="00E97BAB"/>
    <w:rsid w:val="00E97C40"/>
    <w:rsid w:val="00E97CEA"/>
    <w:rsid w:val="00E97D43"/>
    <w:rsid w:val="00EA04E5"/>
    <w:rsid w:val="00EA070C"/>
    <w:rsid w:val="00EA0DB9"/>
    <w:rsid w:val="00EA1A67"/>
    <w:rsid w:val="00EA1AF1"/>
    <w:rsid w:val="00EA24FD"/>
    <w:rsid w:val="00EA29C4"/>
    <w:rsid w:val="00EA2A20"/>
    <w:rsid w:val="00EA3189"/>
    <w:rsid w:val="00EA3E0C"/>
    <w:rsid w:val="00EA44D9"/>
    <w:rsid w:val="00EA4740"/>
    <w:rsid w:val="00EA49B6"/>
    <w:rsid w:val="00EA4F51"/>
    <w:rsid w:val="00EA627E"/>
    <w:rsid w:val="00EA62DE"/>
    <w:rsid w:val="00EA64F1"/>
    <w:rsid w:val="00EA7D64"/>
    <w:rsid w:val="00EB0028"/>
    <w:rsid w:val="00EB0178"/>
    <w:rsid w:val="00EB0970"/>
    <w:rsid w:val="00EB0992"/>
    <w:rsid w:val="00EB0B9D"/>
    <w:rsid w:val="00EB0C5B"/>
    <w:rsid w:val="00EB11B1"/>
    <w:rsid w:val="00EB1290"/>
    <w:rsid w:val="00EB349E"/>
    <w:rsid w:val="00EB3846"/>
    <w:rsid w:val="00EB39C9"/>
    <w:rsid w:val="00EB3A9A"/>
    <w:rsid w:val="00EB40EB"/>
    <w:rsid w:val="00EB50CC"/>
    <w:rsid w:val="00EB5B8A"/>
    <w:rsid w:val="00EB5E92"/>
    <w:rsid w:val="00EB60A5"/>
    <w:rsid w:val="00EB6AC8"/>
    <w:rsid w:val="00EB7082"/>
    <w:rsid w:val="00EB7CC9"/>
    <w:rsid w:val="00EB7FC4"/>
    <w:rsid w:val="00EC0158"/>
    <w:rsid w:val="00EC0962"/>
    <w:rsid w:val="00EC0A62"/>
    <w:rsid w:val="00EC1578"/>
    <w:rsid w:val="00EC1A46"/>
    <w:rsid w:val="00EC1AF7"/>
    <w:rsid w:val="00EC1C68"/>
    <w:rsid w:val="00EC37A9"/>
    <w:rsid w:val="00EC3F2D"/>
    <w:rsid w:val="00EC40E7"/>
    <w:rsid w:val="00EC42E9"/>
    <w:rsid w:val="00EC4E2A"/>
    <w:rsid w:val="00EC5384"/>
    <w:rsid w:val="00EC64CB"/>
    <w:rsid w:val="00EC6CBF"/>
    <w:rsid w:val="00EC6DF2"/>
    <w:rsid w:val="00EC6F23"/>
    <w:rsid w:val="00EC7412"/>
    <w:rsid w:val="00EC79BE"/>
    <w:rsid w:val="00EC7C8A"/>
    <w:rsid w:val="00ED0271"/>
    <w:rsid w:val="00ED053B"/>
    <w:rsid w:val="00ED130C"/>
    <w:rsid w:val="00ED15DC"/>
    <w:rsid w:val="00ED182C"/>
    <w:rsid w:val="00ED1978"/>
    <w:rsid w:val="00ED239D"/>
    <w:rsid w:val="00ED246A"/>
    <w:rsid w:val="00ED2BA8"/>
    <w:rsid w:val="00ED311C"/>
    <w:rsid w:val="00ED3303"/>
    <w:rsid w:val="00ED3E1E"/>
    <w:rsid w:val="00ED425B"/>
    <w:rsid w:val="00ED504D"/>
    <w:rsid w:val="00ED591D"/>
    <w:rsid w:val="00ED5BED"/>
    <w:rsid w:val="00ED61B8"/>
    <w:rsid w:val="00ED61F3"/>
    <w:rsid w:val="00ED7794"/>
    <w:rsid w:val="00ED7A3A"/>
    <w:rsid w:val="00ED7FF0"/>
    <w:rsid w:val="00EE08AB"/>
    <w:rsid w:val="00EE13A7"/>
    <w:rsid w:val="00EE1FF5"/>
    <w:rsid w:val="00EE317A"/>
    <w:rsid w:val="00EE346A"/>
    <w:rsid w:val="00EE4B21"/>
    <w:rsid w:val="00EE4B83"/>
    <w:rsid w:val="00EE4EBE"/>
    <w:rsid w:val="00EE5C36"/>
    <w:rsid w:val="00EE6238"/>
    <w:rsid w:val="00EE636B"/>
    <w:rsid w:val="00EE708D"/>
    <w:rsid w:val="00EE711D"/>
    <w:rsid w:val="00EE7421"/>
    <w:rsid w:val="00EF00F4"/>
    <w:rsid w:val="00EF063F"/>
    <w:rsid w:val="00EF0930"/>
    <w:rsid w:val="00EF103B"/>
    <w:rsid w:val="00EF15B3"/>
    <w:rsid w:val="00EF1712"/>
    <w:rsid w:val="00EF1FDC"/>
    <w:rsid w:val="00EF2214"/>
    <w:rsid w:val="00EF2AF9"/>
    <w:rsid w:val="00EF3972"/>
    <w:rsid w:val="00EF405F"/>
    <w:rsid w:val="00EF40A4"/>
    <w:rsid w:val="00EF4328"/>
    <w:rsid w:val="00EF4BA6"/>
    <w:rsid w:val="00EF4E24"/>
    <w:rsid w:val="00EF6239"/>
    <w:rsid w:val="00EF6814"/>
    <w:rsid w:val="00EF6F47"/>
    <w:rsid w:val="00EF6F5F"/>
    <w:rsid w:val="00EF74C2"/>
    <w:rsid w:val="00EF7EB0"/>
    <w:rsid w:val="00F0027A"/>
    <w:rsid w:val="00F0074D"/>
    <w:rsid w:val="00F018FE"/>
    <w:rsid w:val="00F01B0C"/>
    <w:rsid w:val="00F01F26"/>
    <w:rsid w:val="00F0269B"/>
    <w:rsid w:val="00F027FA"/>
    <w:rsid w:val="00F028B5"/>
    <w:rsid w:val="00F03056"/>
    <w:rsid w:val="00F03921"/>
    <w:rsid w:val="00F04215"/>
    <w:rsid w:val="00F04B74"/>
    <w:rsid w:val="00F04C34"/>
    <w:rsid w:val="00F04C9A"/>
    <w:rsid w:val="00F04D50"/>
    <w:rsid w:val="00F04D97"/>
    <w:rsid w:val="00F05070"/>
    <w:rsid w:val="00F053A8"/>
    <w:rsid w:val="00F05A40"/>
    <w:rsid w:val="00F05C46"/>
    <w:rsid w:val="00F05D9E"/>
    <w:rsid w:val="00F06184"/>
    <w:rsid w:val="00F06874"/>
    <w:rsid w:val="00F0688A"/>
    <w:rsid w:val="00F06D84"/>
    <w:rsid w:val="00F07144"/>
    <w:rsid w:val="00F07994"/>
    <w:rsid w:val="00F10290"/>
    <w:rsid w:val="00F10D10"/>
    <w:rsid w:val="00F10DCD"/>
    <w:rsid w:val="00F11173"/>
    <w:rsid w:val="00F11562"/>
    <w:rsid w:val="00F11823"/>
    <w:rsid w:val="00F11A02"/>
    <w:rsid w:val="00F11A54"/>
    <w:rsid w:val="00F11E72"/>
    <w:rsid w:val="00F12122"/>
    <w:rsid w:val="00F12668"/>
    <w:rsid w:val="00F1283A"/>
    <w:rsid w:val="00F128F1"/>
    <w:rsid w:val="00F1319C"/>
    <w:rsid w:val="00F133B7"/>
    <w:rsid w:val="00F136A5"/>
    <w:rsid w:val="00F13946"/>
    <w:rsid w:val="00F13E0B"/>
    <w:rsid w:val="00F13E48"/>
    <w:rsid w:val="00F142DD"/>
    <w:rsid w:val="00F1510F"/>
    <w:rsid w:val="00F15523"/>
    <w:rsid w:val="00F155E8"/>
    <w:rsid w:val="00F16064"/>
    <w:rsid w:val="00F1631A"/>
    <w:rsid w:val="00F16755"/>
    <w:rsid w:val="00F17018"/>
    <w:rsid w:val="00F1731B"/>
    <w:rsid w:val="00F17519"/>
    <w:rsid w:val="00F17E94"/>
    <w:rsid w:val="00F17F3C"/>
    <w:rsid w:val="00F21370"/>
    <w:rsid w:val="00F2162A"/>
    <w:rsid w:val="00F219BA"/>
    <w:rsid w:val="00F21E8E"/>
    <w:rsid w:val="00F21E92"/>
    <w:rsid w:val="00F21F4F"/>
    <w:rsid w:val="00F22634"/>
    <w:rsid w:val="00F22BB7"/>
    <w:rsid w:val="00F23266"/>
    <w:rsid w:val="00F23569"/>
    <w:rsid w:val="00F241AF"/>
    <w:rsid w:val="00F24A3D"/>
    <w:rsid w:val="00F2606F"/>
    <w:rsid w:val="00F272ED"/>
    <w:rsid w:val="00F273D6"/>
    <w:rsid w:val="00F2764E"/>
    <w:rsid w:val="00F277C9"/>
    <w:rsid w:val="00F310CE"/>
    <w:rsid w:val="00F314A6"/>
    <w:rsid w:val="00F31F5B"/>
    <w:rsid w:val="00F32E41"/>
    <w:rsid w:val="00F32F66"/>
    <w:rsid w:val="00F33E33"/>
    <w:rsid w:val="00F34BA8"/>
    <w:rsid w:val="00F34EB7"/>
    <w:rsid w:val="00F359A5"/>
    <w:rsid w:val="00F35D25"/>
    <w:rsid w:val="00F36012"/>
    <w:rsid w:val="00F362F3"/>
    <w:rsid w:val="00F371D9"/>
    <w:rsid w:val="00F373A5"/>
    <w:rsid w:val="00F37F0A"/>
    <w:rsid w:val="00F40630"/>
    <w:rsid w:val="00F408C5"/>
    <w:rsid w:val="00F40928"/>
    <w:rsid w:val="00F40AE8"/>
    <w:rsid w:val="00F40B63"/>
    <w:rsid w:val="00F40B69"/>
    <w:rsid w:val="00F40BAD"/>
    <w:rsid w:val="00F40C5E"/>
    <w:rsid w:val="00F40D50"/>
    <w:rsid w:val="00F418BF"/>
    <w:rsid w:val="00F419F0"/>
    <w:rsid w:val="00F41C8F"/>
    <w:rsid w:val="00F42E80"/>
    <w:rsid w:val="00F43497"/>
    <w:rsid w:val="00F4367E"/>
    <w:rsid w:val="00F43B60"/>
    <w:rsid w:val="00F43C8B"/>
    <w:rsid w:val="00F4417A"/>
    <w:rsid w:val="00F44270"/>
    <w:rsid w:val="00F44734"/>
    <w:rsid w:val="00F44E5F"/>
    <w:rsid w:val="00F45473"/>
    <w:rsid w:val="00F458CA"/>
    <w:rsid w:val="00F459B7"/>
    <w:rsid w:val="00F45F64"/>
    <w:rsid w:val="00F460FC"/>
    <w:rsid w:val="00F46938"/>
    <w:rsid w:val="00F46C9A"/>
    <w:rsid w:val="00F46CA9"/>
    <w:rsid w:val="00F46D52"/>
    <w:rsid w:val="00F46F08"/>
    <w:rsid w:val="00F47004"/>
    <w:rsid w:val="00F475A0"/>
    <w:rsid w:val="00F47869"/>
    <w:rsid w:val="00F47D20"/>
    <w:rsid w:val="00F508F3"/>
    <w:rsid w:val="00F50FF7"/>
    <w:rsid w:val="00F5169D"/>
    <w:rsid w:val="00F51A32"/>
    <w:rsid w:val="00F51CDC"/>
    <w:rsid w:val="00F520FE"/>
    <w:rsid w:val="00F521E7"/>
    <w:rsid w:val="00F528D8"/>
    <w:rsid w:val="00F52E55"/>
    <w:rsid w:val="00F52E76"/>
    <w:rsid w:val="00F53C26"/>
    <w:rsid w:val="00F54149"/>
    <w:rsid w:val="00F54C4A"/>
    <w:rsid w:val="00F54C8E"/>
    <w:rsid w:val="00F5608B"/>
    <w:rsid w:val="00F566F1"/>
    <w:rsid w:val="00F56763"/>
    <w:rsid w:val="00F56F21"/>
    <w:rsid w:val="00F57D9D"/>
    <w:rsid w:val="00F6000D"/>
    <w:rsid w:val="00F6010C"/>
    <w:rsid w:val="00F60155"/>
    <w:rsid w:val="00F608D2"/>
    <w:rsid w:val="00F60BEA"/>
    <w:rsid w:val="00F612AD"/>
    <w:rsid w:val="00F61682"/>
    <w:rsid w:val="00F61DF0"/>
    <w:rsid w:val="00F61EC9"/>
    <w:rsid w:val="00F6224E"/>
    <w:rsid w:val="00F629C5"/>
    <w:rsid w:val="00F633D5"/>
    <w:rsid w:val="00F63727"/>
    <w:rsid w:val="00F63BBB"/>
    <w:rsid w:val="00F63E62"/>
    <w:rsid w:val="00F64073"/>
    <w:rsid w:val="00F6472F"/>
    <w:rsid w:val="00F64755"/>
    <w:rsid w:val="00F647DB"/>
    <w:rsid w:val="00F64BF3"/>
    <w:rsid w:val="00F65CD2"/>
    <w:rsid w:val="00F661D8"/>
    <w:rsid w:val="00F668C3"/>
    <w:rsid w:val="00F66A72"/>
    <w:rsid w:val="00F66B07"/>
    <w:rsid w:val="00F66F11"/>
    <w:rsid w:val="00F66FF3"/>
    <w:rsid w:val="00F67155"/>
    <w:rsid w:val="00F6757D"/>
    <w:rsid w:val="00F67B40"/>
    <w:rsid w:val="00F70774"/>
    <w:rsid w:val="00F707D5"/>
    <w:rsid w:val="00F70E1A"/>
    <w:rsid w:val="00F70F72"/>
    <w:rsid w:val="00F71092"/>
    <w:rsid w:val="00F710FF"/>
    <w:rsid w:val="00F7159A"/>
    <w:rsid w:val="00F7291F"/>
    <w:rsid w:val="00F73566"/>
    <w:rsid w:val="00F736A9"/>
    <w:rsid w:val="00F737CD"/>
    <w:rsid w:val="00F7433C"/>
    <w:rsid w:val="00F747CE"/>
    <w:rsid w:val="00F75599"/>
    <w:rsid w:val="00F758E6"/>
    <w:rsid w:val="00F75ADA"/>
    <w:rsid w:val="00F760CC"/>
    <w:rsid w:val="00F7642F"/>
    <w:rsid w:val="00F76B53"/>
    <w:rsid w:val="00F770CC"/>
    <w:rsid w:val="00F8076B"/>
    <w:rsid w:val="00F80822"/>
    <w:rsid w:val="00F8154C"/>
    <w:rsid w:val="00F815DD"/>
    <w:rsid w:val="00F81AEA"/>
    <w:rsid w:val="00F81EE6"/>
    <w:rsid w:val="00F8259D"/>
    <w:rsid w:val="00F82E6C"/>
    <w:rsid w:val="00F832DA"/>
    <w:rsid w:val="00F834FD"/>
    <w:rsid w:val="00F8411C"/>
    <w:rsid w:val="00F8446C"/>
    <w:rsid w:val="00F84978"/>
    <w:rsid w:val="00F84B86"/>
    <w:rsid w:val="00F84C08"/>
    <w:rsid w:val="00F84CCF"/>
    <w:rsid w:val="00F84EB8"/>
    <w:rsid w:val="00F85247"/>
    <w:rsid w:val="00F85ADC"/>
    <w:rsid w:val="00F85B7A"/>
    <w:rsid w:val="00F8617D"/>
    <w:rsid w:val="00F8632F"/>
    <w:rsid w:val="00F86846"/>
    <w:rsid w:val="00F86D96"/>
    <w:rsid w:val="00F8784F"/>
    <w:rsid w:val="00F87AFE"/>
    <w:rsid w:val="00F87BE2"/>
    <w:rsid w:val="00F903F0"/>
    <w:rsid w:val="00F90975"/>
    <w:rsid w:val="00F909EC"/>
    <w:rsid w:val="00F91200"/>
    <w:rsid w:val="00F91E91"/>
    <w:rsid w:val="00F9203B"/>
    <w:rsid w:val="00F92B02"/>
    <w:rsid w:val="00F930F7"/>
    <w:rsid w:val="00F9467B"/>
    <w:rsid w:val="00F9473E"/>
    <w:rsid w:val="00F957A9"/>
    <w:rsid w:val="00F96047"/>
    <w:rsid w:val="00F96ED6"/>
    <w:rsid w:val="00F97001"/>
    <w:rsid w:val="00F9722A"/>
    <w:rsid w:val="00F9729C"/>
    <w:rsid w:val="00FA06DF"/>
    <w:rsid w:val="00FA0763"/>
    <w:rsid w:val="00FA0D61"/>
    <w:rsid w:val="00FA0DB1"/>
    <w:rsid w:val="00FA0EFC"/>
    <w:rsid w:val="00FA144B"/>
    <w:rsid w:val="00FA19E0"/>
    <w:rsid w:val="00FA1C6E"/>
    <w:rsid w:val="00FA1E0B"/>
    <w:rsid w:val="00FA1F85"/>
    <w:rsid w:val="00FA2B14"/>
    <w:rsid w:val="00FA2B98"/>
    <w:rsid w:val="00FA3408"/>
    <w:rsid w:val="00FA3A4A"/>
    <w:rsid w:val="00FA3E3B"/>
    <w:rsid w:val="00FA45D2"/>
    <w:rsid w:val="00FA45DD"/>
    <w:rsid w:val="00FA4B8D"/>
    <w:rsid w:val="00FA4C04"/>
    <w:rsid w:val="00FA4E23"/>
    <w:rsid w:val="00FA4FA6"/>
    <w:rsid w:val="00FA530C"/>
    <w:rsid w:val="00FA5D85"/>
    <w:rsid w:val="00FA60AC"/>
    <w:rsid w:val="00FA6557"/>
    <w:rsid w:val="00FA66F6"/>
    <w:rsid w:val="00FA7C2D"/>
    <w:rsid w:val="00FB0260"/>
    <w:rsid w:val="00FB089E"/>
    <w:rsid w:val="00FB08E3"/>
    <w:rsid w:val="00FB0FB8"/>
    <w:rsid w:val="00FB0FC7"/>
    <w:rsid w:val="00FB1005"/>
    <w:rsid w:val="00FB15E6"/>
    <w:rsid w:val="00FB1BA2"/>
    <w:rsid w:val="00FB1D32"/>
    <w:rsid w:val="00FB2240"/>
    <w:rsid w:val="00FB2BB9"/>
    <w:rsid w:val="00FB2DF6"/>
    <w:rsid w:val="00FB32F7"/>
    <w:rsid w:val="00FB39DB"/>
    <w:rsid w:val="00FB3A00"/>
    <w:rsid w:val="00FB3F00"/>
    <w:rsid w:val="00FB405B"/>
    <w:rsid w:val="00FB4560"/>
    <w:rsid w:val="00FB45FE"/>
    <w:rsid w:val="00FB4A64"/>
    <w:rsid w:val="00FB4DAF"/>
    <w:rsid w:val="00FB56E1"/>
    <w:rsid w:val="00FB5939"/>
    <w:rsid w:val="00FB5E5C"/>
    <w:rsid w:val="00FB6D20"/>
    <w:rsid w:val="00FB6EAF"/>
    <w:rsid w:val="00FB6F7B"/>
    <w:rsid w:val="00FB70C5"/>
    <w:rsid w:val="00FB7596"/>
    <w:rsid w:val="00FB7918"/>
    <w:rsid w:val="00FC05C1"/>
    <w:rsid w:val="00FC1F7F"/>
    <w:rsid w:val="00FC239C"/>
    <w:rsid w:val="00FC2501"/>
    <w:rsid w:val="00FC2AEA"/>
    <w:rsid w:val="00FC36C4"/>
    <w:rsid w:val="00FC39F4"/>
    <w:rsid w:val="00FC3CBB"/>
    <w:rsid w:val="00FC3FDA"/>
    <w:rsid w:val="00FC4043"/>
    <w:rsid w:val="00FC50F0"/>
    <w:rsid w:val="00FC538D"/>
    <w:rsid w:val="00FC5533"/>
    <w:rsid w:val="00FC5DE8"/>
    <w:rsid w:val="00FC5EBC"/>
    <w:rsid w:val="00FC63AE"/>
    <w:rsid w:val="00FC69B7"/>
    <w:rsid w:val="00FC7C7A"/>
    <w:rsid w:val="00FD009B"/>
    <w:rsid w:val="00FD047F"/>
    <w:rsid w:val="00FD1272"/>
    <w:rsid w:val="00FD1524"/>
    <w:rsid w:val="00FD1D53"/>
    <w:rsid w:val="00FD1E1D"/>
    <w:rsid w:val="00FD1F87"/>
    <w:rsid w:val="00FD2335"/>
    <w:rsid w:val="00FD294B"/>
    <w:rsid w:val="00FD2C65"/>
    <w:rsid w:val="00FD4183"/>
    <w:rsid w:val="00FD426D"/>
    <w:rsid w:val="00FD4721"/>
    <w:rsid w:val="00FD4DDD"/>
    <w:rsid w:val="00FD6243"/>
    <w:rsid w:val="00FD6822"/>
    <w:rsid w:val="00FD7652"/>
    <w:rsid w:val="00FD7D4F"/>
    <w:rsid w:val="00FE0065"/>
    <w:rsid w:val="00FE0591"/>
    <w:rsid w:val="00FE09CF"/>
    <w:rsid w:val="00FE0CE7"/>
    <w:rsid w:val="00FE0E9A"/>
    <w:rsid w:val="00FE18A5"/>
    <w:rsid w:val="00FE1D70"/>
    <w:rsid w:val="00FE27C9"/>
    <w:rsid w:val="00FE4147"/>
    <w:rsid w:val="00FE51D7"/>
    <w:rsid w:val="00FE5A85"/>
    <w:rsid w:val="00FE5BF9"/>
    <w:rsid w:val="00FE623F"/>
    <w:rsid w:val="00FE627A"/>
    <w:rsid w:val="00FE6400"/>
    <w:rsid w:val="00FE653C"/>
    <w:rsid w:val="00FE6B7B"/>
    <w:rsid w:val="00FE6BF0"/>
    <w:rsid w:val="00FE70D4"/>
    <w:rsid w:val="00FE73CE"/>
    <w:rsid w:val="00FE789C"/>
    <w:rsid w:val="00FF0290"/>
    <w:rsid w:val="00FF0BE6"/>
    <w:rsid w:val="00FF0D9F"/>
    <w:rsid w:val="00FF1A8F"/>
    <w:rsid w:val="00FF1AC9"/>
    <w:rsid w:val="00FF23C6"/>
    <w:rsid w:val="00FF2A7B"/>
    <w:rsid w:val="00FF4049"/>
    <w:rsid w:val="00FF45F0"/>
    <w:rsid w:val="00FF4771"/>
    <w:rsid w:val="00FF4892"/>
    <w:rsid w:val="00FF5278"/>
    <w:rsid w:val="00FF558B"/>
    <w:rsid w:val="00FF56B6"/>
    <w:rsid w:val="00FF5B55"/>
    <w:rsid w:val="00FF601E"/>
    <w:rsid w:val="00FF611D"/>
    <w:rsid w:val="00FF6769"/>
    <w:rsid w:val="00FF6F2E"/>
    <w:rsid w:val="00FF71A9"/>
    <w:rsid w:val="00FF73DF"/>
    <w:rsid w:val="00FF796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AD026"/>
  <w14:defaultImageDpi w14:val="32767"/>
  <w15:chartTrackingRefBased/>
  <w15:docId w15:val="{D42E212A-ECFF-274B-B0BA-BFEA0F25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71E15"/>
    <w:pPr>
      <w:widowControl w:val="0"/>
      <w:ind w:firstLine="360"/>
      <w:jc w:val="both"/>
    </w:pPr>
    <w:rPr>
      <w:rFonts w:ascii="CG Times" w:hAnsi="CG Times"/>
      <w:sz w:val="24"/>
      <w:lang w:eastAsia="en-US"/>
    </w:rPr>
  </w:style>
  <w:style w:type="paragraph" w:styleId="Heading1">
    <w:name w:val="heading 1"/>
    <w:basedOn w:val="Normal"/>
    <w:next w:val="Normal"/>
    <w:link w:val="Heading1Char"/>
    <w:qFormat/>
    <w:rsid w:val="00716272"/>
    <w:pPr>
      <w:keepNext/>
      <w:widowControl/>
      <w:numPr>
        <w:numId w:val="1"/>
      </w:numPr>
      <w:spacing w:before="120" w:after="120"/>
      <w:jc w:val="center"/>
      <w:outlineLvl w:val="0"/>
    </w:pPr>
    <w:rPr>
      <w:smallCaps/>
      <w:kern w:val="28"/>
    </w:rPr>
  </w:style>
  <w:style w:type="paragraph" w:styleId="Heading2">
    <w:name w:val="heading 2"/>
    <w:basedOn w:val="Normal"/>
    <w:next w:val="Normal"/>
    <w:qFormat/>
    <w:rsid w:val="005E5057"/>
    <w:pPr>
      <w:numPr>
        <w:numId w:val="3"/>
      </w:numPr>
      <w:spacing w:before="120" w:after="120"/>
      <w:jc w:val="center"/>
      <w:outlineLvl w:val="1"/>
    </w:pPr>
    <w:rPr>
      <w:i/>
    </w:rPr>
  </w:style>
  <w:style w:type="paragraph" w:styleId="Heading3">
    <w:name w:val="heading 3"/>
    <w:basedOn w:val="Normal"/>
    <w:next w:val="Normal"/>
    <w:link w:val="Heading3Char"/>
    <w:qFormat/>
    <w:rsid w:val="005E5057"/>
    <w:pPr>
      <w:keepNext/>
      <w:widowControl/>
      <w:numPr>
        <w:ilvl w:val="2"/>
        <w:numId w:val="1"/>
      </w:numPr>
      <w:spacing w:before="120" w:after="120"/>
      <w:outlineLvl w:val="2"/>
    </w:pPr>
  </w:style>
  <w:style w:type="paragraph" w:styleId="Heading4">
    <w:name w:val="heading 4"/>
    <w:basedOn w:val="Normal"/>
    <w:next w:val="Normal"/>
    <w:link w:val="Heading4Char"/>
    <w:qFormat/>
    <w:rsid w:val="005E5057"/>
    <w:pPr>
      <w:keepNext/>
      <w:widowControl/>
      <w:numPr>
        <w:ilvl w:val="3"/>
        <w:numId w:val="1"/>
      </w:numPr>
      <w:tabs>
        <w:tab w:val="clear" w:pos="360"/>
      </w:tabs>
      <w:spacing w:before="120" w:after="120"/>
      <w:outlineLvl w:val="3"/>
    </w:pPr>
  </w:style>
  <w:style w:type="paragraph" w:styleId="Heading5">
    <w:name w:val="heading 5"/>
    <w:next w:val="Normal"/>
    <w:link w:val="Heading5Char"/>
    <w:qFormat/>
    <w:rsid w:val="005C7763"/>
    <w:pPr>
      <w:numPr>
        <w:ilvl w:val="4"/>
        <w:numId w:val="1"/>
      </w:numPr>
      <w:spacing w:before="240" w:after="60"/>
      <w:outlineLvl w:val="4"/>
    </w:pPr>
    <w:rPr>
      <w:rFonts w:ascii="CG Times" w:hAnsi="CG Times"/>
      <w:sz w:val="22"/>
      <w:lang w:eastAsia="en-US"/>
    </w:rPr>
  </w:style>
  <w:style w:type="paragraph" w:styleId="Heading6">
    <w:name w:val="heading 6"/>
    <w:basedOn w:val="Normal"/>
    <w:next w:val="Normal"/>
    <w:link w:val="Heading6Char"/>
    <w:qFormat/>
    <w:pPr>
      <w:numPr>
        <w:ilvl w:val="5"/>
        <w:numId w:val="1"/>
      </w:numPr>
      <w:spacing w:before="240" w:after="60"/>
      <w:outlineLvl w:val="5"/>
    </w:pPr>
    <w:rPr>
      <w:rFonts w:ascii="Times New Roman" w:hAnsi="Times New Roman"/>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Pr>
      <w:sz w:val="16"/>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rPr>
  </w:style>
  <w:style w:type="character" w:styleId="EndnoteReference">
    <w:name w:val="endnote reference"/>
    <w:basedOn w:val="DefaultParagraphFont"/>
    <w:semiHidden/>
    <w:rPr>
      <w:vertAlign w:val="superscript"/>
    </w:rPr>
  </w:style>
  <w:style w:type="paragraph" w:styleId="EndnoteText">
    <w:name w:val="endnote text"/>
    <w:basedOn w:val="Normal"/>
    <w:semiHidden/>
    <w:rPr>
      <w:sz w:val="20"/>
    </w:rPr>
  </w:style>
  <w:style w:type="paragraph" w:styleId="Footer">
    <w:name w:val="footer"/>
    <w:basedOn w:val="Normal"/>
    <w:link w:val="FooterChar"/>
    <w:uiPriority w:val="99"/>
    <w:pPr>
      <w:tabs>
        <w:tab w:val="center" w:pos="4320"/>
        <w:tab w:val="right" w:pos="8640"/>
      </w:tabs>
    </w:pPr>
  </w:style>
  <w:style w:type="paragraph" w:customStyle="1" w:styleId="Footnote">
    <w:name w:val="Footnote"/>
    <w:basedOn w:val="FootnoteText"/>
    <w:link w:val="FootnoteChar"/>
    <w:qFormat/>
    <w:rsid w:val="00D1591B"/>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rsid w:val="00870B12"/>
    <w:rPr>
      <w:sz w:val="20"/>
    </w:rPr>
  </w:style>
  <w:style w:type="paragraph" w:styleId="Header">
    <w:name w:val="header"/>
    <w:basedOn w:val="Normal"/>
    <w:pPr>
      <w:tabs>
        <w:tab w:val="center" w:pos="4320"/>
        <w:tab w:val="right" w:pos="8640"/>
      </w:tabs>
    </w:pPr>
  </w:style>
  <w:style w:type="character" w:styleId="Hyperlink">
    <w:name w:val="Hyperlink"/>
    <w:basedOn w:val="DefaultParagraphFont"/>
    <w:uiPriority w:val="99"/>
    <w:rPr>
      <w:color w:val="0000FF"/>
      <w:u w:val="single"/>
    </w:rPr>
  </w:style>
  <w:style w:type="paragraph" w:customStyle="1" w:styleId="Level1">
    <w:name w:val="Level 1"/>
    <w:basedOn w:val="Normal"/>
    <w:pPr>
      <w:ind w:left="720" w:hanging="720"/>
    </w:pPr>
  </w:style>
  <w:style w:type="character" w:styleId="PageNumber">
    <w:name w:val="page number"/>
    <w:basedOn w:val="DefaultParagraphFont"/>
    <w:uiPriority w:val="99"/>
  </w:style>
  <w:style w:type="paragraph" w:customStyle="1" w:styleId="LetteredList">
    <w:name w:val="Lettered List"/>
    <w:basedOn w:val="Normal"/>
    <w:rsid w:val="00017D0A"/>
    <w:pPr>
      <w:numPr>
        <w:numId w:val="2"/>
      </w:numPr>
    </w:pPr>
  </w:style>
  <w:style w:type="paragraph" w:styleId="TOC1">
    <w:name w:val="toc 1"/>
    <w:basedOn w:val="Normal"/>
    <w:next w:val="Normal"/>
    <w:autoRedefine/>
    <w:uiPriority w:val="39"/>
    <w:pPr>
      <w:spacing w:before="120"/>
      <w:jc w:val="left"/>
    </w:pPr>
    <w:rPr>
      <w:rFonts w:asciiTheme="minorHAnsi" w:hAnsiTheme="minorHAnsi" w:cstheme="minorHAnsi"/>
      <w:b/>
      <w:bCs/>
      <w:i/>
      <w:iCs/>
      <w:szCs w:val="24"/>
    </w:rPr>
  </w:style>
  <w:style w:type="paragraph" w:styleId="TOC2">
    <w:name w:val="toc 2"/>
    <w:basedOn w:val="Normal"/>
    <w:next w:val="Normal"/>
    <w:autoRedefine/>
    <w:uiPriority w:val="39"/>
    <w:pPr>
      <w:spacing w:before="120"/>
      <w:ind w:left="240"/>
      <w:jc w:val="left"/>
    </w:pPr>
    <w:rPr>
      <w:rFonts w:asciiTheme="minorHAnsi" w:hAnsiTheme="minorHAnsi" w:cstheme="minorHAnsi"/>
      <w:b/>
      <w:bCs/>
      <w:sz w:val="22"/>
      <w:szCs w:val="22"/>
    </w:rPr>
  </w:style>
  <w:style w:type="paragraph" w:styleId="TOC3">
    <w:name w:val="toc 3"/>
    <w:basedOn w:val="Normal"/>
    <w:next w:val="Normal"/>
    <w:autoRedefine/>
    <w:uiPriority w:val="39"/>
    <w:pPr>
      <w:ind w:left="480"/>
      <w:jc w:val="left"/>
    </w:pPr>
    <w:rPr>
      <w:rFonts w:asciiTheme="minorHAnsi" w:hAnsiTheme="minorHAnsi" w:cstheme="minorHAnsi"/>
      <w:sz w:val="20"/>
    </w:rPr>
  </w:style>
  <w:style w:type="paragraph" w:styleId="TOC4">
    <w:name w:val="toc 4"/>
    <w:basedOn w:val="Normal"/>
    <w:next w:val="Normal"/>
    <w:autoRedefine/>
    <w:semiHidden/>
    <w:pPr>
      <w:ind w:left="720"/>
      <w:jc w:val="left"/>
    </w:pPr>
    <w:rPr>
      <w:rFonts w:asciiTheme="minorHAnsi" w:hAnsiTheme="minorHAnsi" w:cstheme="minorHAnsi"/>
      <w:sz w:val="20"/>
    </w:rPr>
  </w:style>
  <w:style w:type="paragraph" w:styleId="TOC5">
    <w:name w:val="toc 5"/>
    <w:basedOn w:val="Normal"/>
    <w:next w:val="Normal"/>
    <w:autoRedefine/>
    <w:semiHidden/>
    <w:pPr>
      <w:ind w:left="960"/>
      <w:jc w:val="left"/>
    </w:pPr>
    <w:rPr>
      <w:rFonts w:asciiTheme="minorHAnsi" w:hAnsiTheme="minorHAnsi" w:cstheme="minorHAnsi"/>
      <w:sz w:val="20"/>
    </w:rPr>
  </w:style>
  <w:style w:type="paragraph" w:styleId="TOC6">
    <w:name w:val="toc 6"/>
    <w:basedOn w:val="Normal"/>
    <w:next w:val="Normal"/>
    <w:autoRedefine/>
    <w:semiHidden/>
    <w:pPr>
      <w:ind w:left="1200"/>
      <w:jc w:val="left"/>
    </w:pPr>
    <w:rPr>
      <w:rFonts w:asciiTheme="minorHAnsi" w:hAnsiTheme="minorHAnsi" w:cstheme="minorHAnsi"/>
      <w:sz w:val="20"/>
    </w:rPr>
  </w:style>
  <w:style w:type="paragraph" w:styleId="TOC7">
    <w:name w:val="toc 7"/>
    <w:basedOn w:val="Normal"/>
    <w:next w:val="Normal"/>
    <w:autoRedefine/>
    <w:semiHidden/>
    <w:pPr>
      <w:ind w:left="1440"/>
      <w:jc w:val="left"/>
    </w:pPr>
    <w:rPr>
      <w:rFonts w:asciiTheme="minorHAnsi" w:hAnsiTheme="minorHAnsi" w:cstheme="minorHAnsi"/>
      <w:sz w:val="20"/>
    </w:rPr>
  </w:style>
  <w:style w:type="paragraph" w:styleId="TOC8">
    <w:name w:val="toc 8"/>
    <w:basedOn w:val="Normal"/>
    <w:next w:val="Normal"/>
    <w:autoRedefine/>
    <w:semiHidden/>
    <w:pPr>
      <w:ind w:left="1680"/>
      <w:jc w:val="left"/>
    </w:pPr>
    <w:rPr>
      <w:rFonts w:asciiTheme="minorHAnsi" w:hAnsiTheme="minorHAnsi" w:cstheme="minorHAnsi"/>
      <w:sz w:val="20"/>
    </w:rPr>
  </w:style>
  <w:style w:type="paragraph" w:styleId="TOC9">
    <w:name w:val="toc 9"/>
    <w:basedOn w:val="Normal"/>
    <w:next w:val="Normal"/>
    <w:autoRedefine/>
    <w:semiHidden/>
    <w:pPr>
      <w:ind w:left="1920"/>
      <w:jc w:val="left"/>
    </w:pPr>
    <w:rPr>
      <w:rFonts w:asciiTheme="minorHAnsi" w:hAnsiTheme="minorHAnsi" w:cstheme="minorHAnsi"/>
      <w:sz w:val="20"/>
    </w:rPr>
  </w:style>
  <w:style w:type="paragraph" w:customStyle="1" w:styleId="BlockQuote">
    <w:name w:val="Block Quote"/>
    <w:basedOn w:val="Normal"/>
    <w:rsid w:val="00471E15"/>
    <w:pPr>
      <w:ind w:left="360" w:right="360"/>
    </w:pPr>
    <w:rPr>
      <w:sz w:val="21"/>
      <w:szCs w:val="19"/>
    </w:rPr>
  </w:style>
  <w:style w:type="paragraph" w:customStyle="1" w:styleId="Epigraph">
    <w:name w:val="Epigraph"/>
    <w:basedOn w:val="Normal"/>
    <w:rsid w:val="00471E15"/>
    <w:pPr>
      <w:ind w:left="3600" w:firstLine="0"/>
      <w:jc w:val="right"/>
    </w:pPr>
    <w:rPr>
      <w:sz w:val="21"/>
      <w:szCs w:val="21"/>
    </w:rPr>
  </w:style>
  <w:style w:type="paragraph" w:customStyle="1" w:styleId="ArticleTitle">
    <w:name w:val="Article Title"/>
    <w:basedOn w:val="Normal"/>
    <w:rsid w:val="005E5057"/>
    <w:pPr>
      <w:ind w:firstLine="0"/>
      <w:jc w:val="center"/>
    </w:pPr>
    <w:rPr>
      <w:caps/>
      <w:sz w:val="28"/>
      <w:szCs w:val="28"/>
    </w:rPr>
  </w:style>
  <w:style w:type="paragraph" w:customStyle="1" w:styleId="YourName">
    <w:name w:val="Your Name"/>
    <w:basedOn w:val="Normal"/>
    <w:rsid w:val="00E67E67"/>
    <w:pPr>
      <w:ind w:firstLine="0"/>
      <w:jc w:val="center"/>
    </w:pPr>
    <w:rPr>
      <w:i/>
      <w:iCs/>
      <w:sz w:val="23"/>
    </w:rPr>
  </w:style>
  <w:style w:type="paragraph" w:customStyle="1" w:styleId="BlockQuoteinFootnote">
    <w:name w:val="Block Quote in Footnote"/>
    <w:basedOn w:val="FootnoteText"/>
    <w:rsid w:val="00870B12"/>
    <w:pPr>
      <w:ind w:left="360" w:right="360"/>
    </w:pPr>
  </w:style>
  <w:style w:type="character" w:customStyle="1" w:styleId="FootnoteTextChar">
    <w:name w:val="Footnote Text Char"/>
    <w:link w:val="FootnoteText"/>
    <w:uiPriority w:val="99"/>
    <w:rsid w:val="005E1AF0"/>
    <w:rPr>
      <w:rFonts w:ascii="CG Times" w:hAnsi="CG Times"/>
      <w:lang w:eastAsia="en-US"/>
    </w:rPr>
  </w:style>
  <w:style w:type="character" w:customStyle="1" w:styleId="FootnoteChar">
    <w:name w:val="Footnote Char"/>
    <w:link w:val="Footnote"/>
    <w:locked/>
    <w:rsid w:val="00D1591B"/>
    <w:rPr>
      <w:rFonts w:ascii="CG Times" w:hAnsi="CG Times"/>
      <w:lang w:eastAsia="en-US"/>
    </w:rPr>
  </w:style>
  <w:style w:type="paragraph" w:styleId="ListParagraph">
    <w:name w:val="List Paragraph"/>
    <w:basedOn w:val="Normal"/>
    <w:uiPriority w:val="34"/>
    <w:qFormat/>
    <w:rsid w:val="001157BF"/>
    <w:pPr>
      <w:ind w:left="720"/>
      <w:contextualSpacing/>
    </w:pPr>
  </w:style>
  <w:style w:type="character" w:styleId="UnresolvedMention">
    <w:name w:val="Unresolved Mention"/>
    <w:basedOn w:val="DefaultParagraphFont"/>
    <w:uiPriority w:val="99"/>
    <w:rsid w:val="00993063"/>
    <w:rPr>
      <w:color w:val="605E5C"/>
      <w:shd w:val="clear" w:color="auto" w:fill="E1DFDD"/>
    </w:rPr>
  </w:style>
  <w:style w:type="paragraph" w:styleId="BalloonText">
    <w:name w:val="Balloon Text"/>
    <w:basedOn w:val="Normal"/>
    <w:link w:val="BalloonTextChar"/>
    <w:uiPriority w:val="99"/>
    <w:semiHidden/>
    <w:unhideWhenUsed/>
    <w:rsid w:val="003849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975"/>
    <w:rPr>
      <w:rFonts w:ascii="Segoe UI" w:hAnsi="Segoe UI" w:cs="Segoe UI"/>
      <w:sz w:val="18"/>
      <w:szCs w:val="18"/>
      <w:lang w:eastAsia="en-US"/>
    </w:rPr>
  </w:style>
  <w:style w:type="numbering" w:customStyle="1" w:styleId="Style2">
    <w:name w:val="Style2"/>
    <w:uiPriority w:val="99"/>
    <w:rsid w:val="006C506D"/>
    <w:pPr>
      <w:numPr>
        <w:numId w:val="4"/>
      </w:numPr>
    </w:pPr>
  </w:style>
  <w:style w:type="paragraph" w:customStyle="1" w:styleId="Bullet2">
    <w:name w:val="Bullet 2"/>
    <w:basedOn w:val="ListParagraph"/>
    <w:qFormat/>
    <w:rsid w:val="006C506D"/>
    <w:pPr>
      <w:widowControl/>
      <w:numPr>
        <w:ilvl w:val="1"/>
        <w:numId w:val="5"/>
      </w:numPr>
      <w:spacing w:after="60"/>
      <w:ind w:left="720"/>
      <w:contextualSpacing w:val="0"/>
      <w:jc w:val="left"/>
    </w:pPr>
    <w:rPr>
      <w:rFonts w:ascii="Times New Roman" w:eastAsiaTheme="minorEastAsia" w:hAnsi="Times New Roman"/>
      <w:sz w:val="22"/>
      <w:szCs w:val="22"/>
    </w:rPr>
  </w:style>
  <w:style w:type="paragraph" w:customStyle="1" w:styleId="Bullet3">
    <w:name w:val="Bullet 3"/>
    <w:basedOn w:val="ListParagraph"/>
    <w:qFormat/>
    <w:rsid w:val="006C506D"/>
    <w:pPr>
      <w:widowControl/>
      <w:numPr>
        <w:ilvl w:val="2"/>
        <w:numId w:val="5"/>
      </w:numPr>
      <w:spacing w:after="60"/>
      <w:ind w:left="1080"/>
      <w:contextualSpacing w:val="0"/>
      <w:jc w:val="left"/>
    </w:pPr>
    <w:rPr>
      <w:rFonts w:ascii="Times New Roman" w:eastAsiaTheme="minorEastAsia" w:hAnsi="Times New Roman"/>
      <w:sz w:val="22"/>
      <w:szCs w:val="22"/>
    </w:rPr>
  </w:style>
  <w:style w:type="paragraph" w:customStyle="1" w:styleId="Bullet1">
    <w:name w:val="Bullet 1"/>
    <w:basedOn w:val="ListParagraph"/>
    <w:qFormat/>
    <w:rsid w:val="006C506D"/>
    <w:pPr>
      <w:widowControl/>
      <w:numPr>
        <w:numId w:val="5"/>
      </w:numPr>
      <w:spacing w:after="60"/>
      <w:contextualSpacing w:val="0"/>
      <w:jc w:val="left"/>
    </w:pPr>
    <w:rPr>
      <w:rFonts w:ascii="Times New Roman" w:eastAsiaTheme="minorEastAsia" w:hAnsi="Times New Roman"/>
      <w:sz w:val="22"/>
      <w:szCs w:val="22"/>
    </w:rPr>
  </w:style>
  <w:style w:type="character" w:customStyle="1" w:styleId="cosearchterm">
    <w:name w:val="co_searchterm"/>
    <w:basedOn w:val="DefaultParagraphFont"/>
    <w:rsid w:val="003D034D"/>
  </w:style>
  <w:style w:type="paragraph" w:styleId="NormalWeb">
    <w:name w:val="Normal (Web)"/>
    <w:basedOn w:val="Normal"/>
    <w:uiPriority w:val="99"/>
    <w:unhideWhenUsed/>
    <w:rsid w:val="00EE08AB"/>
    <w:pPr>
      <w:widowControl/>
      <w:spacing w:before="100" w:beforeAutospacing="1" w:after="100" w:afterAutospacing="1"/>
      <w:ind w:firstLine="0"/>
      <w:jc w:val="left"/>
    </w:pPr>
    <w:rPr>
      <w:rFonts w:ascii="Times New Roman" w:hAnsi="Times New Roman"/>
      <w:szCs w:val="24"/>
    </w:rPr>
  </w:style>
  <w:style w:type="paragraph" w:styleId="CommentSubject">
    <w:name w:val="annotation subject"/>
    <w:basedOn w:val="CommentText"/>
    <w:next w:val="CommentText"/>
    <w:link w:val="CommentSubjectChar"/>
    <w:uiPriority w:val="99"/>
    <w:semiHidden/>
    <w:unhideWhenUsed/>
    <w:rsid w:val="0020609E"/>
    <w:rPr>
      <w:b/>
      <w:bCs/>
    </w:rPr>
  </w:style>
  <w:style w:type="character" w:customStyle="1" w:styleId="CommentTextChar">
    <w:name w:val="Comment Text Char"/>
    <w:basedOn w:val="DefaultParagraphFont"/>
    <w:link w:val="CommentText"/>
    <w:semiHidden/>
    <w:rsid w:val="0020609E"/>
    <w:rPr>
      <w:rFonts w:ascii="CG Times" w:hAnsi="CG Times"/>
      <w:lang w:eastAsia="en-US"/>
    </w:rPr>
  </w:style>
  <w:style w:type="character" w:customStyle="1" w:styleId="CommentSubjectChar">
    <w:name w:val="Comment Subject Char"/>
    <w:basedOn w:val="CommentTextChar"/>
    <w:link w:val="CommentSubject"/>
    <w:uiPriority w:val="99"/>
    <w:semiHidden/>
    <w:rsid w:val="0020609E"/>
    <w:rPr>
      <w:rFonts w:ascii="CG Times" w:hAnsi="CG Times"/>
      <w:b/>
      <w:bCs/>
      <w:lang w:eastAsia="en-US"/>
    </w:rPr>
  </w:style>
  <w:style w:type="paragraph" w:styleId="Revision">
    <w:name w:val="Revision"/>
    <w:hidden/>
    <w:uiPriority w:val="99"/>
    <w:semiHidden/>
    <w:rsid w:val="00FD047F"/>
    <w:rPr>
      <w:rFonts w:ascii="CG Times" w:hAnsi="CG Times"/>
      <w:sz w:val="24"/>
      <w:lang w:eastAsia="en-US"/>
    </w:rPr>
  </w:style>
  <w:style w:type="table" w:styleId="TableGrid">
    <w:name w:val="Table Grid"/>
    <w:basedOn w:val="TableNormal"/>
    <w:uiPriority w:val="39"/>
    <w:rsid w:val="00650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55D76"/>
    <w:rPr>
      <w:rFonts w:ascii="CG Times" w:hAnsi="CG Times"/>
      <w:smallCaps/>
      <w:kern w:val="28"/>
      <w:sz w:val="24"/>
      <w:lang w:eastAsia="en-US"/>
    </w:rPr>
  </w:style>
  <w:style w:type="character" w:customStyle="1" w:styleId="Heading3Char">
    <w:name w:val="Heading 3 Char"/>
    <w:basedOn w:val="DefaultParagraphFont"/>
    <w:link w:val="Heading3"/>
    <w:rsid w:val="005E5057"/>
    <w:rPr>
      <w:rFonts w:ascii="CG Times" w:hAnsi="CG Times"/>
      <w:sz w:val="24"/>
      <w:lang w:eastAsia="en-US"/>
    </w:rPr>
  </w:style>
  <w:style w:type="character" w:customStyle="1" w:styleId="Heading4Char">
    <w:name w:val="Heading 4 Char"/>
    <w:basedOn w:val="DefaultParagraphFont"/>
    <w:link w:val="Heading4"/>
    <w:rsid w:val="005E5057"/>
    <w:rPr>
      <w:rFonts w:ascii="CG Times" w:hAnsi="CG Times"/>
      <w:sz w:val="24"/>
      <w:lang w:eastAsia="en-US"/>
    </w:rPr>
  </w:style>
  <w:style w:type="character" w:customStyle="1" w:styleId="Heading5Char">
    <w:name w:val="Heading 5 Char"/>
    <w:basedOn w:val="DefaultParagraphFont"/>
    <w:link w:val="Heading5"/>
    <w:rsid w:val="00A55D76"/>
    <w:rPr>
      <w:rFonts w:ascii="CG Times" w:hAnsi="CG Times"/>
      <w:sz w:val="22"/>
      <w:lang w:eastAsia="en-US"/>
    </w:rPr>
  </w:style>
  <w:style w:type="character" w:customStyle="1" w:styleId="Heading6Char">
    <w:name w:val="Heading 6 Char"/>
    <w:basedOn w:val="DefaultParagraphFont"/>
    <w:link w:val="Heading6"/>
    <w:rsid w:val="00A55D76"/>
    <w:rPr>
      <w:i/>
      <w:sz w:val="22"/>
      <w:lang w:eastAsia="en-US"/>
    </w:rPr>
  </w:style>
  <w:style w:type="character" w:customStyle="1" w:styleId="Heading7Char">
    <w:name w:val="Heading 7 Char"/>
    <w:basedOn w:val="DefaultParagraphFont"/>
    <w:link w:val="Heading7"/>
    <w:rsid w:val="00A55D76"/>
    <w:rPr>
      <w:rFonts w:ascii="Arial" w:hAnsi="Arial"/>
      <w:lang w:eastAsia="en-US"/>
    </w:rPr>
  </w:style>
  <w:style w:type="character" w:customStyle="1" w:styleId="Heading8Char">
    <w:name w:val="Heading 8 Char"/>
    <w:basedOn w:val="DefaultParagraphFont"/>
    <w:link w:val="Heading8"/>
    <w:rsid w:val="00A55D76"/>
    <w:rPr>
      <w:rFonts w:ascii="Arial" w:hAnsi="Arial"/>
      <w:i/>
      <w:lang w:eastAsia="en-US"/>
    </w:rPr>
  </w:style>
  <w:style w:type="character" w:customStyle="1" w:styleId="Heading9Char">
    <w:name w:val="Heading 9 Char"/>
    <w:basedOn w:val="DefaultParagraphFont"/>
    <w:link w:val="Heading9"/>
    <w:rsid w:val="00A55D76"/>
    <w:rPr>
      <w:rFonts w:ascii="Arial" w:hAnsi="Arial"/>
      <w:b/>
      <w:i/>
      <w:sz w:val="18"/>
      <w:lang w:eastAsia="en-US"/>
    </w:rPr>
  </w:style>
  <w:style w:type="character" w:customStyle="1" w:styleId="FooterChar">
    <w:name w:val="Footer Char"/>
    <w:basedOn w:val="DefaultParagraphFont"/>
    <w:link w:val="Footer"/>
    <w:uiPriority w:val="99"/>
    <w:rsid w:val="00A55D76"/>
    <w:rPr>
      <w:rFonts w:ascii="CG Times" w:hAnsi="CG Times"/>
      <w:sz w:val="24"/>
      <w:lang w:eastAsia="en-US"/>
    </w:rPr>
  </w:style>
  <w:style w:type="character" w:styleId="FollowedHyperlink">
    <w:name w:val="FollowedHyperlink"/>
    <w:basedOn w:val="DefaultParagraphFont"/>
    <w:uiPriority w:val="99"/>
    <w:semiHidden/>
    <w:unhideWhenUsed/>
    <w:rsid w:val="005E5057"/>
    <w:rPr>
      <w:color w:val="954F72" w:themeColor="followedHyperlink"/>
      <w:u w:val="single"/>
    </w:rPr>
  </w:style>
  <w:style w:type="paragraph" w:styleId="TOCHeading">
    <w:name w:val="TOC Heading"/>
    <w:basedOn w:val="Heading1"/>
    <w:next w:val="Normal"/>
    <w:uiPriority w:val="39"/>
    <w:unhideWhenUsed/>
    <w:qFormat/>
    <w:rsid w:val="000B331C"/>
    <w:pPr>
      <w:keepLines/>
      <w:numPr>
        <w:numId w:val="0"/>
      </w:numPr>
      <w:spacing w:before="480" w:after="0" w:line="276" w:lineRule="auto"/>
      <w:jc w:val="left"/>
      <w:outlineLvl w:val="9"/>
    </w:pPr>
    <w:rPr>
      <w:rFonts w:asciiTheme="majorHAnsi" w:eastAsiaTheme="majorEastAsia" w:hAnsiTheme="majorHAnsi" w:cstheme="majorBidi"/>
      <w:b/>
      <w:bCs/>
      <w:smallCaps w:val="0"/>
      <w:color w:val="2F5496" w:themeColor="accent1" w:themeShade="BF"/>
      <w:kern w:val="0"/>
      <w:sz w:val="28"/>
      <w:szCs w:val="28"/>
    </w:rPr>
  </w:style>
  <w:style w:type="character" w:customStyle="1" w:styleId="apple-converted-space">
    <w:name w:val="apple-converted-space"/>
    <w:basedOn w:val="DefaultParagraphFont"/>
    <w:rsid w:val="00092E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71560">
      <w:bodyDiv w:val="1"/>
      <w:marLeft w:val="0"/>
      <w:marRight w:val="0"/>
      <w:marTop w:val="0"/>
      <w:marBottom w:val="0"/>
      <w:divBdr>
        <w:top w:val="none" w:sz="0" w:space="0" w:color="auto"/>
        <w:left w:val="none" w:sz="0" w:space="0" w:color="auto"/>
        <w:bottom w:val="none" w:sz="0" w:space="0" w:color="auto"/>
        <w:right w:val="none" w:sz="0" w:space="0" w:color="auto"/>
      </w:divBdr>
      <w:divsChild>
        <w:div w:id="2001886471">
          <w:marLeft w:val="0"/>
          <w:marRight w:val="0"/>
          <w:marTop w:val="0"/>
          <w:marBottom w:val="0"/>
          <w:divBdr>
            <w:top w:val="none" w:sz="0" w:space="0" w:color="auto"/>
            <w:left w:val="none" w:sz="0" w:space="0" w:color="auto"/>
            <w:bottom w:val="none" w:sz="0" w:space="0" w:color="auto"/>
            <w:right w:val="none" w:sz="0" w:space="0" w:color="auto"/>
          </w:divBdr>
          <w:divsChild>
            <w:div w:id="656226304">
              <w:marLeft w:val="0"/>
              <w:marRight w:val="0"/>
              <w:marTop w:val="0"/>
              <w:marBottom w:val="0"/>
              <w:divBdr>
                <w:top w:val="none" w:sz="0" w:space="0" w:color="auto"/>
                <w:left w:val="none" w:sz="0" w:space="0" w:color="auto"/>
                <w:bottom w:val="none" w:sz="0" w:space="0" w:color="auto"/>
                <w:right w:val="none" w:sz="0" w:space="0" w:color="auto"/>
              </w:divBdr>
              <w:divsChild>
                <w:div w:id="49757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5780">
      <w:bodyDiv w:val="1"/>
      <w:marLeft w:val="0"/>
      <w:marRight w:val="0"/>
      <w:marTop w:val="0"/>
      <w:marBottom w:val="0"/>
      <w:divBdr>
        <w:top w:val="none" w:sz="0" w:space="0" w:color="auto"/>
        <w:left w:val="none" w:sz="0" w:space="0" w:color="auto"/>
        <w:bottom w:val="none" w:sz="0" w:space="0" w:color="auto"/>
        <w:right w:val="none" w:sz="0" w:space="0" w:color="auto"/>
      </w:divBdr>
    </w:div>
    <w:div w:id="83114259">
      <w:bodyDiv w:val="1"/>
      <w:marLeft w:val="0"/>
      <w:marRight w:val="0"/>
      <w:marTop w:val="0"/>
      <w:marBottom w:val="0"/>
      <w:divBdr>
        <w:top w:val="none" w:sz="0" w:space="0" w:color="auto"/>
        <w:left w:val="none" w:sz="0" w:space="0" w:color="auto"/>
        <w:bottom w:val="none" w:sz="0" w:space="0" w:color="auto"/>
        <w:right w:val="none" w:sz="0" w:space="0" w:color="auto"/>
      </w:divBdr>
      <w:divsChild>
        <w:div w:id="2008244134">
          <w:marLeft w:val="0"/>
          <w:marRight w:val="0"/>
          <w:marTop w:val="0"/>
          <w:marBottom w:val="0"/>
          <w:divBdr>
            <w:top w:val="none" w:sz="0" w:space="0" w:color="auto"/>
            <w:left w:val="none" w:sz="0" w:space="0" w:color="auto"/>
            <w:bottom w:val="none" w:sz="0" w:space="0" w:color="auto"/>
            <w:right w:val="none" w:sz="0" w:space="0" w:color="auto"/>
          </w:divBdr>
        </w:div>
      </w:divsChild>
    </w:div>
    <w:div w:id="83452714">
      <w:bodyDiv w:val="1"/>
      <w:marLeft w:val="0"/>
      <w:marRight w:val="0"/>
      <w:marTop w:val="0"/>
      <w:marBottom w:val="0"/>
      <w:divBdr>
        <w:top w:val="none" w:sz="0" w:space="0" w:color="auto"/>
        <w:left w:val="none" w:sz="0" w:space="0" w:color="auto"/>
        <w:bottom w:val="none" w:sz="0" w:space="0" w:color="auto"/>
        <w:right w:val="none" w:sz="0" w:space="0" w:color="auto"/>
      </w:divBdr>
    </w:div>
    <w:div w:id="96996159">
      <w:bodyDiv w:val="1"/>
      <w:marLeft w:val="0"/>
      <w:marRight w:val="0"/>
      <w:marTop w:val="0"/>
      <w:marBottom w:val="0"/>
      <w:divBdr>
        <w:top w:val="none" w:sz="0" w:space="0" w:color="auto"/>
        <w:left w:val="none" w:sz="0" w:space="0" w:color="auto"/>
        <w:bottom w:val="none" w:sz="0" w:space="0" w:color="auto"/>
        <w:right w:val="none" w:sz="0" w:space="0" w:color="auto"/>
      </w:divBdr>
      <w:divsChild>
        <w:div w:id="1105152415">
          <w:marLeft w:val="0"/>
          <w:marRight w:val="0"/>
          <w:marTop w:val="0"/>
          <w:marBottom w:val="0"/>
          <w:divBdr>
            <w:top w:val="none" w:sz="0" w:space="0" w:color="auto"/>
            <w:left w:val="none" w:sz="0" w:space="0" w:color="auto"/>
            <w:bottom w:val="none" w:sz="0" w:space="0" w:color="auto"/>
            <w:right w:val="none" w:sz="0" w:space="0" w:color="auto"/>
          </w:divBdr>
          <w:divsChild>
            <w:div w:id="824011765">
              <w:marLeft w:val="0"/>
              <w:marRight w:val="0"/>
              <w:marTop w:val="0"/>
              <w:marBottom w:val="0"/>
              <w:divBdr>
                <w:top w:val="none" w:sz="0" w:space="0" w:color="auto"/>
                <w:left w:val="none" w:sz="0" w:space="0" w:color="auto"/>
                <w:bottom w:val="none" w:sz="0" w:space="0" w:color="auto"/>
                <w:right w:val="none" w:sz="0" w:space="0" w:color="auto"/>
              </w:divBdr>
              <w:divsChild>
                <w:div w:id="6753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7334">
      <w:bodyDiv w:val="1"/>
      <w:marLeft w:val="0"/>
      <w:marRight w:val="0"/>
      <w:marTop w:val="0"/>
      <w:marBottom w:val="0"/>
      <w:divBdr>
        <w:top w:val="none" w:sz="0" w:space="0" w:color="auto"/>
        <w:left w:val="none" w:sz="0" w:space="0" w:color="auto"/>
        <w:bottom w:val="none" w:sz="0" w:space="0" w:color="auto"/>
        <w:right w:val="none" w:sz="0" w:space="0" w:color="auto"/>
      </w:divBdr>
      <w:divsChild>
        <w:div w:id="95252842">
          <w:marLeft w:val="0"/>
          <w:marRight w:val="0"/>
          <w:marTop w:val="0"/>
          <w:marBottom w:val="0"/>
          <w:divBdr>
            <w:top w:val="none" w:sz="0" w:space="0" w:color="auto"/>
            <w:left w:val="none" w:sz="0" w:space="0" w:color="auto"/>
            <w:bottom w:val="none" w:sz="0" w:space="0" w:color="auto"/>
            <w:right w:val="none" w:sz="0" w:space="0" w:color="auto"/>
          </w:divBdr>
          <w:divsChild>
            <w:div w:id="296641169">
              <w:marLeft w:val="0"/>
              <w:marRight w:val="0"/>
              <w:marTop w:val="0"/>
              <w:marBottom w:val="0"/>
              <w:divBdr>
                <w:top w:val="none" w:sz="0" w:space="0" w:color="auto"/>
                <w:left w:val="none" w:sz="0" w:space="0" w:color="auto"/>
                <w:bottom w:val="none" w:sz="0" w:space="0" w:color="auto"/>
                <w:right w:val="none" w:sz="0" w:space="0" w:color="auto"/>
              </w:divBdr>
              <w:divsChild>
                <w:div w:id="17000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7481">
      <w:bodyDiv w:val="1"/>
      <w:marLeft w:val="0"/>
      <w:marRight w:val="0"/>
      <w:marTop w:val="0"/>
      <w:marBottom w:val="0"/>
      <w:divBdr>
        <w:top w:val="none" w:sz="0" w:space="0" w:color="auto"/>
        <w:left w:val="none" w:sz="0" w:space="0" w:color="auto"/>
        <w:bottom w:val="none" w:sz="0" w:space="0" w:color="auto"/>
        <w:right w:val="none" w:sz="0" w:space="0" w:color="auto"/>
      </w:divBdr>
      <w:divsChild>
        <w:div w:id="96994761">
          <w:marLeft w:val="0"/>
          <w:marRight w:val="0"/>
          <w:marTop w:val="0"/>
          <w:marBottom w:val="0"/>
          <w:divBdr>
            <w:top w:val="none" w:sz="0" w:space="0" w:color="auto"/>
            <w:left w:val="none" w:sz="0" w:space="0" w:color="auto"/>
            <w:bottom w:val="none" w:sz="0" w:space="0" w:color="auto"/>
            <w:right w:val="none" w:sz="0" w:space="0" w:color="auto"/>
          </w:divBdr>
          <w:divsChild>
            <w:div w:id="1191993127">
              <w:marLeft w:val="0"/>
              <w:marRight w:val="0"/>
              <w:marTop w:val="0"/>
              <w:marBottom w:val="0"/>
              <w:divBdr>
                <w:top w:val="none" w:sz="0" w:space="0" w:color="auto"/>
                <w:left w:val="none" w:sz="0" w:space="0" w:color="auto"/>
                <w:bottom w:val="none" w:sz="0" w:space="0" w:color="auto"/>
                <w:right w:val="none" w:sz="0" w:space="0" w:color="auto"/>
              </w:divBdr>
              <w:divsChild>
                <w:div w:id="13155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9339">
      <w:bodyDiv w:val="1"/>
      <w:marLeft w:val="0"/>
      <w:marRight w:val="0"/>
      <w:marTop w:val="0"/>
      <w:marBottom w:val="0"/>
      <w:divBdr>
        <w:top w:val="none" w:sz="0" w:space="0" w:color="auto"/>
        <w:left w:val="none" w:sz="0" w:space="0" w:color="auto"/>
        <w:bottom w:val="none" w:sz="0" w:space="0" w:color="auto"/>
        <w:right w:val="none" w:sz="0" w:space="0" w:color="auto"/>
      </w:divBdr>
      <w:divsChild>
        <w:div w:id="1700467890">
          <w:marLeft w:val="0"/>
          <w:marRight w:val="0"/>
          <w:marTop w:val="0"/>
          <w:marBottom w:val="0"/>
          <w:divBdr>
            <w:top w:val="none" w:sz="0" w:space="0" w:color="auto"/>
            <w:left w:val="none" w:sz="0" w:space="0" w:color="auto"/>
            <w:bottom w:val="none" w:sz="0" w:space="0" w:color="auto"/>
            <w:right w:val="none" w:sz="0" w:space="0" w:color="auto"/>
          </w:divBdr>
          <w:divsChild>
            <w:div w:id="85856757">
              <w:marLeft w:val="0"/>
              <w:marRight w:val="0"/>
              <w:marTop w:val="0"/>
              <w:marBottom w:val="0"/>
              <w:divBdr>
                <w:top w:val="none" w:sz="0" w:space="0" w:color="auto"/>
                <w:left w:val="none" w:sz="0" w:space="0" w:color="auto"/>
                <w:bottom w:val="none" w:sz="0" w:space="0" w:color="auto"/>
                <w:right w:val="none" w:sz="0" w:space="0" w:color="auto"/>
              </w:divBdr>
              <w:divsChild>
                <w:div w:id="20764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3624">
      <w:bodyDiv w:val="1"/>
      <w:marLeft w:val="0"/>
      <w:marRight w:val="0"/>
      <w:marTop w:val="0"/>
      <w:marBottom w:val="0"/>
      <w:divBdr>
        <w:top w:val="none" w:sz="0" w:space="0" w:color="auto"/>
        <w:left w:val="none" w:sz="0" w:space="0" w:color="auto"/>
        <w:bottom w:val="none" w:sz="0" w:space="0" w:color="auto"/>
        <w:right w:val="none" w:sz="0" w:space="0" w:color="auto"/>
      </w:divBdr>
      <w:divsChild>
        <w:div w:id="1005283819">
          <w:marLeft w:val="0"/>
          <w:marRight w:val="0"/>
          <w:marTop w:val="0"/>
          <w:marBottom w:val="0"/>
          <w:divBdr>
            <w:top w:val="none" w:sz="0" w:space="0" w:color="auto"/>
            <w:left w:val="none" w:sz="0" w:space="0" w:color="auto"/>
            <w:bottom w:val="none" w:sz="0" w:space="0" w:color="auto"/>
            <w:right w:val="none" w:sz="0" w:space="0" w:color="auto"/>
          </w:divBdr>
          <w:divsChild>
            <w:div w:id="576288471">
              <w:marLeft w:val="0"/>
              <w:marRight w:val="0"/>
              <w:marTop w:val="0"/>
              <w:marBottom w:val="0"/>
              <w:divBdr>
                <w:top w:val="none" w:sz="0" w:space="0" w:color="auto"/>
                <w:left w:val="none" w:sz="0" w:space="0" w:color="auto"/>
                <w:bottom w:val="none" w:sz="0" w:space="0" w:color="auto"/>
                <w:right w:val="none" w:sz="0" w:space="0" w:color="auto"/>
              </w:divBdr>
              <w:divsChild>
                <w:div w:id="1672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5680">
      <w:bodyDiv w:val="1"/>
      <w:marLeft w:val="0"/>
      <w:marRight w:val="0"/>
      <w:marTop w:val="0"/>
      <w:marBottom w:val="0"/>
      <w:divBdr>
        <w:top w:val="none" w:sz="0" w:space="0" w:color="auto"/>
        <w:left w:val="none" w:sz="0" w:space="0" w:color="auto"/>
        <w:bottom w:val="none" w:sz="0" w:space="0" w:color="auto"/>
        <w:right w:val="none" w:sz="0" w:space="0" w:color="auto"/>
      </w:divBdr>
      <w:divsChild>
        <w:div w:id="1622105061">
          <w:marLeft w:val="0"/>
          <w:marRight w:val="0"/>
          <w:marTop w:val="0"/>
          <w:marBottom w:val="0"/>
          <w:divBdr>
            <w:top w:val="none" w:sz="0" w:space="0" w:color="auto"/>
            <w:left w:val="none" w:sz="0" w:space="0" w:color="auto"/>
            <w:bottom w:val="none" w:sz="0" w:space="0" w:color="auto"/>
            <w:right w:val="none" w:sz="0" w:space="0" w:color="auto"/>
          </w:divBdr>
          <w:divsChild>
            <w:div w:id="1343045505">
              <w:marLeft w:val="0"/>
              <w:marRight w:val="0"/>
              <w:marTop w:val="0"/>
              <w:marBottom w:val="0"/>
              <w:divBdr>
                <w:top w:val="none" w:sz="0" w:space="0" w:color="auto"/>
                <w:left w:val="none" w:sz="0" w:space="0" w:color="auto"/>
                <w:bottom w:val="none" w:sz="0" w:space="0" w:color="auto"/>
                <w:right w:val="none" w:sz="0" w:space="0" w:color="auto"/>
              </w:divBdr>
              <w:divsChild>
                <w:div w:id="159235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6107">
      <w:bodyDiv w:val="1"/>
      <w:marLeft w:val="0"/>
      <w:marRight w:val="0"/>
      <w:marTop w:val="0"/>
      <w:marBottom w:val="0"/>
      <w:divBdr>
        <w:top w:val="none" w:sz="0" w:space="0" w:color="auto"/>
        <w:left w:val="none" w:sz="0" w:space="0" w:color="auto"/>
        <w:bottom w:val="none" w:sz="0" w:space="0" w:color="auto"/>
        <w:right w:val="none" w:sz="0" w:space="0" w:color="auto"/>
      </w:divBdr>
      <w:divsChild>
        <w:div w:id="389113783">
          <w:marLeft w:val="0"/>
          <w:marRight w:val="0"/>
          <w:marTop w:val="0"/>
          <w:marBottom w:val="0"/>
          <w:divBdr>
            <w:top w:val="none" w:sz="0" w:space="0" w:color="auto"/>
            <w:left w:val="none" w:sz="0" w:space="0" w:color="auto"/>
            <w:bottom w:val="none" w:sz="0" w:space="0" w:color="auto"/>
            <w:right w:val="none" w:sz="0" w:space="0" w:color="auto"/>
          </w:divBdr>
          <w:divsChild>
            <w:div w:id="1898280699">
              <w:marLeft w:val="0"/>
              <w:marRight w:val="0"/>
              <w:marTop w:val="0"/>
              <w:marBottom w:val="0"/>
              <w:divBdr>
                <w:top w:val="none" w:sz="0" w:space="0" w:color="auto"/>
                <w:left w:val="none" w:sz="0" w:space="0" w:color="auto"/>
                <w:bottom w:val="none" w:sz="0" w:space="0" w:color="auto"/>
                <w:right w:val="none" w:sz="0" w:space="0" w:color="auto"/>
              </w:divBdr>
              <w:divsChild>
                <w:div w:id="196446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6051">
      <w:bodyDiv w:val="1"/>
      <w:marLeft w:val="0"/>
      <w:marRight w:val="0"/>
      <w:marTop w:val="0"/>
      <w:marBottom w:val="0"/>
      <w:divBdr>
        <w:top w:val="none" w:sz="0" w:space="0" w:color="auto"/>
        <w:left w:val="none" w:sz="0" w:space="0" w:color="auto"/>
        <w:bottom w:val="none" w:sz="0" w:space="0" w:color="auto"/>
        <w:right w:val="none" w:sz="0" w:space="0" w:color="auto"/>
      </w:divBdr>
      <w:divsChild>
        <w:div w:id="907611327">
          <w:marLeft w:val="0"/>
          <w:marRight w:val="0"/>
          <w:marTop w:val="0"/>
          <w:marBottom w:val="0"/>
          <w:divBdr>
            <w:top w:val="none" w:sz="0" w:space="0" w:color="auto"/>
            <w:left w:val="none" w:sz="0" w:space="0" w:color="auto"/>
            <w:bottom w:val="none" w:sz="0" w:space="0" w:color="auto"/>
            <w:right w:val="none" w:sz="0" w:space="0" w:color="auto"/>
          </w:divBdr>
          <w:divsChild>
            <w:div w:id="2140026665">
              <w:marLeft w:val="0"/>
              <w:marRight w:val="0"/>
              <w:marTop w:val="0"/>
              <w:marBottom w:val="0"/>
              <w:divBdr>
                <w:top w:val="none" w:sz="0" w:space="0" w:color="auto"/>
                <w:left w:val="none" w:sz="0" w:space="0" w:color="auto"/>
                <w:bottom w:val="none" w:sz="0" w:space="0" w:color="auto"/>
                <w:right w:val="none" w:sz="0" w:space="0" w:color="auto"/>
              </w:divBdr>
              <w:divsChild>
                <w:div w:id="915748968">
                  <w:marLeft w:val="0"/>
                  <w:marRight w:val="0"/>
                  <w:marTop w:val="0"/>
                  <w:marBottom w:val="0"/>
                  <w:divBdr>
                    <w:top w:val="none" w:sz="0" w:space="0" w:color="auto"/>
                    <w:left w:val="none" w:sz="0" w:space="0" w:color="auto"/>
                    <w:bottom w:val="none" w:sz="0" w:space="0" w:color="auto"/>
                    <w:right w:val="none" w:sz="0" w:space="0" w:color="auto"/>
                  </w:divBdr>
                  <w:divsChild>
                    <w:div w:id="20723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44925">
      <w:bodyDiv w:val="1"/>
      <w:marLeft w:val="0"/>
      <w:marRight w:val="0"/>
      <w:marTop w:val="0"/>
      <w:marBottom w:val="0"/>
      <w:divBdr>
        <w:top w:val="none" w:sz="0" w:space="0" w:color="auto"/>
        <w:left w:val="none" w:sz="0" w:space="0" w:color="auto"/>
        <w:bottom w:val="none" w:sz="0" w:space="0" w:color="auto"/>
        <w:right w:val="none" w:sz="0" w:space="0" w:color="auto"/>
      </w:divBdr>
      <w:divsChild>
        <w:div w:id="1879048335">
          <w:marLeft w:val="0"/>
          <w:marRight w:val="0"/>
          <w:marTop w:val="0"/>
          <w:marBottom w:val="0"/>
          <w:divBdr>
            <w:top w:val="none" w:sz="0" w:space="0" w:color="auto"/>
            <w:left w:val="none" w:sz="0" w:space="0" w:color="auto"/>
            <w:bottom w:val="none" w:sz="0" w:space="0" w:color="auto"/>
            <w:right w:val="none" w:sz="0" w:space="0" w:color="auto"/>
          </w:divBdr>
          <w:divsChild>
            <w:div w:id="994067303">
              <w:marLeft w:val="0"/>
              <w:marRight w:val="0"/>
              <w:marTop w:val="0"/>
              <w:marBottom w:val="0"/>
              <w:divBdr>
                <w:top w:val="none" w:sz="0" w:space="0" w:color="auto"/>
                <w:left w:val="none" w:sz="0" w:space="0" w:color="auto"/>
                <w:bottom w:val="none" w:sz="0" w:space="0" w:color="auto"/>
                <w:right w:val="none" w:sz="0" w:space="0" w:color="auto"/>
              </w:divBdr>
              <w:divsChild>
                <w:div w:id="75637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75156">
      <w:bodyDiv w:val="1"/>
      <w:marLeft w:val="0"/>
      <w:marRight w:val="0"/>
      <w:marTop w:val="0"/>
      <w:marBottom w:val="0"/>
      <w:divBdr>
        <w:top w:val="none" w:sz="0" w:space="0" w:color="auto"/>
        <w:left w:val="none" w:sz="0" w:space="0" w:color="auto"/>
        <w:bottom w:val="none" w:sz="0" w:space="0" w:color="auto"/>
        <w:right w:val="none" w:sz="0" w:space="0" w:color="auto"/>
      </w:divBdr>
    </w:div>
    <w:div w:id="183205708">
      <w:bodyDiv w:val="1"/>
      <w:marLeft w:val="0"/>
      <w:marRight w:val="0"/>
      <w:marTop w:val="0"/>
      <w:marBottom w:val="0"/>
      <w:divBdr>
        <w:top w:val="none" w:sz="0" w:space="0" w:color="auto"/>
        <w:left w:val="none" w:sz="0" w:space="0" w:color="auto"/>
        <w:bottom w:val="none" w:sz="0" w:space="0" w:color="auto"/>
        <w:right w:val="none" w:sz="0" w:space="0" w:color="auto"/>
      </w:divBdr>
      <w:divsChild>
        <w:div w:id="1638603191">
          <w:marLeft w:val="0"/>
          <w:marRight w:val="0"/>
          <w:marTop w:val="0"/>
          <w:marBottom w:val="0"/>
          <w:divBdr>
            <w:top w:val="none" w:sz="0" w:space="0" w:color="auto"/>
            <w:left w:val="none" w:sz="0" w:space="0" w:color="auto"/>
            <w:bottom w:val="none" w:sz="0" w:space="0" w:color="auto"/>
            <w:right w:val="none" w:sz="0" w:space="0" w:color="auto"/>
          </w:divBdr>
          <w:divsChild>
            <w:div w:id="1262297693">
              <w:marLeft w:val="0"/>
              <w:marRight w:val="0"/>
              <w:marTop w:val="0"/>
              <w:marBottom w:val="0"/>
              <w:divBdr>
                <w:top w:val="none" w:sz="0" w:space="0" w:color="auto"/>
                <w:left w:val="none" w:sz="0" w:space="0" w:color="auto"/>
                <w:bottom w:val="none" w:sz="0" w:space="0" w:color="auto"/>
                <w:right w:val="none" w:sz="0" w:space="0" w:color="auto"/>
              </w:divBdr>
              <w:divsChild>
                <w:div w:id="986201684">
                  <w:marLeft w:val="0"/>
                  <w:marRight w:val="0"/>
                  <w:marTop w:val="0"/>
                  <w:marBottom w:val="0"/>
                  <w:divBdr>
                    <w:top w:val="none" w:sz="0" w:space="0" w:color="auto"/>
                    <w:left w:val="none" w:sz="0" w:space="0" w:color="auto"/>
                    <w:bottom w:val="none" w:sz="0" w:space="0" w:color="auto"/>
                    <w:right w:val="none" w:sz="0" w:space="0" w:color="auto"/>
                  </w:divBdr>
                  <w:divsChild>
                    <w:div w:id="859047841">
                      <w:marLeft w:val="0"/>
                      <w:marRight w:val="0"/>
                      <w:marTop w:val="0"/>
                      <w:marBottom w:val="0"/>
                      <w:divBdr>
                        <w:top w:val="none" w:sz="0" w:space="0" w:color="auto"/>
                        <w:left w:val="none" w:sz="0" w:space="0" w:color="auto"/>
                        <w:bottom w:val="none" w:sz="0" w:space="0" w:color="auto"/>
                        <w:right w:val="none" w:sz="0" w:space="0" w:color="auto"/>
                      </w:divBdr>
                    </w:div>
                  </w:divsChild>
                </w:div>
                <w:div w:id="473959503">
                  <w:marLeft w:val="0"/>
                  <w:marRight w:val="0"/>
                  <w:marTop w:val="0"/>
                  <w:marBottom w:val="0"/>
                  <w:divBdr>
                    <w:top w:val="none" w:sz="0" w:space="0" w:color="auto"/>
                    <w:left w:val="none" w:sz="0" w:space="0" w:color="auto"/>
                    <w:bottom w:val="none" w:sz="0" w:space="0" w:color="auto"/>
                    <w:right w:val="none" w:sz="0" w:space="0" w:color="auto"/>
                  </w:divBdr>
                  <w:divsChild>
                    <w:div w:id="852456840">
                      <w:marLeft w:val="0"/>
                      <w:marRight w:val="0"/>
                      <w:marTop w:val="0"/>
                      <w:marBottom w:val="0"/>
                      <w:divBdr>
                        <w:top w:val="none" w:sz="0" w:space="0" w:color="auto"/>
                        <w:left w:val="none" w:sz="0" w:space="0" w:color="auto"/>
                        <w:bottom w:val="none" w:sz="0" w:space="0" w:color="auto"/>
                        <w:right w:val="none" w:sz="0" w:space="0" w:color="auto"/>
                      </w:divBdr>
                    </w:div>
                  </w:divsChild>
                </w:div>
                <w:div w:id="229342352">
                  <w:marLeft w:val="0"/>
                  <w:marRight w:val="0"/>
                  <w:marTop w:val="0"/>
                  <w:marBottom w:val="0"/>
                  <w:divBdr>
                    <w:top w:val="none" w:sz="0" w:space="0" w:color="auto"/>
                    <w:left w:val="none" w:sz="0" w:space="0" w:color="auto"/>
                    <w:bottom w:val="none" w:sz="0" w:space="0" w:color="auto"/>
                    <w:right w:val="none" w:sz="0" w:space="0" w:color="auto"/>
                  </w:divBdr>
                  <w:divsChild>
                    <w:div w:id="755785608">
                      <w:marLeft w:val="0"/>
                      <w:marRight w:val="0"/>
                      <w:marTop w:val="0"/>
                      <w:marBottom w:val="0"/>
                      <w:divBdr>
                        <w:top w:val="none" w:sz="0" w:space="0" w:color="auto"/>
                        <w:left w:val="none" w:sz="0" w:space="0" w:color="auto"/>
                        <w:bottom w:val="none" w:sz="0" w:space="0" w:color="auto"/>
                        <w:right w:val="none" w:sz="0" w:space="0" w:color="auto"/>
                      </w:divBdr>
                    </w:div>
                  </w:divsChild>
                </w:div>
                <w:div w:id="1518690147">
                  <w:marLeft w:val="0"/>
                  <w:marRight w:val="0"/>
                  <w:marTop w:val="0"/>
                  <w:marBottom w:val="0"/>
                  <w:divBdr>
                    <w:top w:val="none" w:sz="0" w:space="0" w:color="auto"/>
                    <w:left w:val="none" w:sz="0" w:space="0" w:color="auto"/>
                    <w:bottom w:val="none" w:sz="0" w:space="0" w:color="auto"/>
                    <w:right w:val="none" w:sz="0" w:space="0" w:color="auto"/>
                  </w:divBdr>
                  <w:divsChild>
                    <w:div w:id="1600411133">
                      <w:marLeft w:val="0"/>
                      <w:marRight w:val="0"/>
                      <w:marTop w:val="0"/>
                      <w:marBottom w:val="0"/>
                      <w:divBdr>
                        <w:top w:val="none" w:sz="0" w:space="0" w:color="auto"/>
                        <w:left w:val="none" w:sz="0" w:space="0" w:color="auto"/>
                        <w:bottom w:val="none" w:sz="0" w:space="0" w:color="auto"/>
                        <w:right w:val="none" w:sz="0" w:space="0" w:color="auto"/>
                      </w:divBdr>
                    </w:div>
                  </w:divsChild>
                </w:div>
                <w:div w:id="1748458715">
                  <w:marLeft w:val="0"/>
                  <w:marRight w:val="0"/>
                  <w:marTop w:val="0"/>
                  <w:marBottom w:val="0"/>
                  <w:divBdr>
                    <w:top w:val="none" w:sz="0" w:space="0" w:color="auto"/>
                    <w:left w:val="none" w:sz="0" w:space="0" w:color="auto"/>
                    <w:bottom w:val="none" w:sz="0" w:space="0" w:color="auto"/>
                    <w:right w:val="none" w:sz="0" w:space="0" w:color="auto"/>
                  </w:divBdr>
                  <w:divsChild>
                    <w:div w:id="157770385">
                      <w:marLeft w:val="0"/>
                      <w:marRight w:val="0"/>
                      <w:marTop w:val="0"/>
                      <w:marBottom w:val="0"/>
                      <w:divBdr>
                        <w:top w:val="none" w:sz="0" w:space="0" w:color="auto"/>
                        <w:left w:val="none" w:sz="0" w:space="0" w:color="auto"/>
                        <w:bottom w:val="none" w:sz="0" w:space="0" w:color="auto"/>
                        <w:right w:val="none" w:sz="0" w:space="0" w:color="auto"/>
                      </w:divBdr>
                    </w:div>
                  </w:divsChild>
                </w:div>
                <w:div w:id="602962094">
                  <w:marLeft w:val="0"/>
                  <w:marRight w:val="0"/>
                  <w:marTop w:val="0"/>
                  <w:marBottom w:val="0"/>
                  <w:divBdr>
                    <w:top w:val="none" w:sz="0" w:space="0" w:color="auto"/>
                    <w:left w:val="none" w:sz="0" w:space="0" w:color="auto"/>
                    <w:bottom w:val="none" w:sz="0" w:space="0" w:color="auto"/>
                    <w:right w:val="none" w:sz="0" w:space="0" w:color="auto"/>
                  </w:divBdr>
                  <w:divsChild>
                    <w:div w:id="1895389885">
                      <w:marLeft w:val="0"/>
                      <w:marRight w:val="0"/>
                      <w:marTop w:val="0"/>
                      <w:marBottom w:val="0"/>
                      <w:divBdr>
                        <w:top w:val="none" w:sz="0" w:space="0" w:color="auto"/>
                        <w:left w:val="none" w:sz="0" w:space="0" w:color="auto"/>
                        <w:bottom w:val="none" w:sz="0" w:space="0" w:color="auto"/>
                        <w:right w:val="none" w:sz="0" w:space="0" w:color="auto"/>
                      </w:divBdr>
                    </w:div>
                  </w:divsChild>
                </w:div>
                <w:div w:id="737172431">
                  <w:marLeft w:val="0"/>
                  <w:marRight w:val="0"/>
                  <w:marTop w:val="0"/>
                  <w:marBottom w:val="0"/>
                  <w:divBdr>
                    <w:top w:val="none" w:sz="0" w:space="0" w:color="auto"/>
                    <w:left w:val="none" w:sz="0" w:space="0" w:color="auto"/>
                    <w:bottom w:val="none" w:sz="0" w:space="0" w:color="auto"/>
                    <w:right w:val="none" w:sz="0" w:space="0" w:color="auto"/>
                  </w:divBdr>
                  <w:divsChild>
                    <w:div w:id="1147552417">
                      <w:marLeft w:val="0"/>
                      <w:marRight w:val="0"/>
                      <w:marTop w:val="0"/>
                      <w:marBottom w:val="0"/>
                      <w:divBdr>
                        <w:top w:val="none" w:sz="0" w:space="0" w:color="auto"/>
                        <w:left w:val="none" w:sz="0" w:space="0" w:color="auto"/>
                        <w:bottom w:val="none" w:sz="0" w:space="0" w:color="auto"/>
                        <w:right w:val="none" w:sz="0" w:space="0" w:color="auto"/>
                      </w:divBdr>
                    </w:div>
                  </w:divsChild>
                </w:div>
                <w:div w:id="9138642">
                  <w:marLeft w:val="0"/>
                  <w:marRight w:val="0"/>
                  <w:marTop w:val="0"/>
                  <w:marBottom w:val="0"/>
                  <w:divBdr>
                    <w:top w:val="none" w:sz="0" w:space="0" w:color="auto"/>
                    <w:left w:val="none" w:sz="0" w:space="0" w:color="auto"/>
                    <w:bottom w:val="none" w:sz="0" w:space="0" w:color="auto"/>
                    <w:right w:val="none" w:sz="0" w:space="0" w:color="auto"/>
                  </w:divBdr>
                  <w:divsChild>
                    <w:div w:id="837187199">
                      <w:marLeft w:val="0"/>
                      <w:marRight w:val="0"/>
                      <w:marTop w:val="0"/>
                      <w:marBottom w:val="0"/>
                      <w:divBdr>
                        <w:top w:val="none" w:sz="0" w:space="0" w:color="auto"/>
                        <w:left w:val="none" w:sz="0" w:space="0" w:color="auto"/>
                        <w:bottom w:val="none" w:sz="0" w:space="0" w:color="auto"/>
                        <w:right w:val="none" w:sz="0" w:space="0" w:color="auto"/>
                      </w:divBdr>
                    </w:div>
                  </w:divsChild>
                </w:div>
                <w:div w:id="1761752641">
                  <w:marLeft w:val="0"/>
                  <w:marRight w:val="0"/>
                  <w:marTop w:val="0"/>
                  <w:marBottom w:val="0"/>
                  <w:divBdr>
                    <w:top w:val="none" w:sz="0" w:space="0" w:color="auto"/>
                    <w:left w:val="none" w:sz="0" w:space="0" w:color="auto"/>
                    <w:bottom w:val="none" w:sz="0" w:space="0" w:color="auto"/>
                    <w:right w:val="none" w:sz="0" w:space="0" w:color="auto"/>
                  </w:divBdr>
                  <w:divsChild>
                    <w:div w:id="976766934">
                      <w:marLeft w:val="0"/>
                      <w:marRight w:val="0"/>
                      <w:marTop w:val="0"/>
                      <w:marBottom w:val="0"/>
                      <w:divBdr>
                        <w:top w:val="none" w:sz="0" w:space="0" w:color="auto"/>
                        <w:left w:val="none" w:sz="0" w:space="0" w:color="auto"/>
                        <w:bottom w:val="none" w:sz="0" w:space="0" w:color="auto"/>
                        <w:right w:val="none" w:sz="0" w:space="0" w:color="auto"/>
                      </w:divBdr>
                    </w:div>
                  </w:divsChild>
                </w:div>
                <w:div w:id="2133207327">
                  <w:marLeft w:val="0"/>
                  <w:marRight w:val="0"/>
                  <w:marTop w:val="0"/>
                  <w:marBottom w:val="0"/>
                  <w:divBdr>
                    <w:top w:val="none" w:sz="0" w:space="0" w:color="auto"/>
                    <w:left w:val="none" w:sz="0" w:space="0" w:color="auto"/>
                    <w:bottom w:val="none" w:sz="0" w:space="0" w:color="auto"/>
                    <w:right w:val="none" w:sz="0" w:space="0" w:color="auto"/>
                  </w:divBdr>
                  <w:divsChild>
                    <w:div w:id="13308385">
                      <w:marLeft w:val="0"/>
                      <w:marRight w:val="0"/>
                      <w:marTop w:val="0"/>
                      <w:marBottom w:val="0"/>
                      <w:divBdr>
                        <w:top w:val="none" w:sz="0" w:space="0" w:color="auto"/>
                        <w:left w:val="none" w:sz="0" w:space="0" w:color="auto"/>
                        <w:bottom w:val="none" w:sz="0" w:space="0" w:color="auto"/>
                        <w:right w:val="none" w:sz="0" w:space="0" w:color="auto"/>
                      </w:divBdr>
                    </w:div>
                  </w:divsChild>
                </w:div>
                <w:div w:id="1547645940">
                  <w:marLeft w:val="0"/>
                  <w:marRight w:val="0"/>
                  <w:marTop w:val="0"/>
                  <w:marBottom w:val="0"/>
                  <w:divBdr>
                    <w:top w:val="none" w:sz="0" w:space="0" w:color="auto"/>
                    <w:left w:val="none" w:sz="0" w:space="0" w:color="auto"/>
                    <w:bottom w:val="none" w:sz="0" w:space="0" w:color="auto"/>
                    <w:right w:val="none" w:sz="0" w:space="0" w:color="auto"/>
                  </w:divBdr>
                  <w:divsChild>
                    <w:div w:id="799493241">
                      <w:marLeft w:val="0"/>
                      <w:marRight w:val="0"/>
                      <w:marTop w:val="0"/>
                      <w:marBottom w:val="0"/>
                      <w:divBdr>
                        <w:top w:val="none" w:sz="0" w:space="0" w:color="auto"/>
                        <w:left w:val="none" w:sz="0" w:space="0" w:color="auto"/>
                        <w:bottom w:val="none" w:sz="0" w:space="0" w:color="auto"/>
                        <w:right w:val="none" w:sz="0" w:space="0" w:color="auto"/>
                      </w:divBdr>
                    </w:div>
                  </w:divsChild>
                </w:div>
                <w:div w:id="872496240">
                  <w:marLeft w:val="0"/>
                  <w:marRight w:val="0"/>
                  <w:marTop w:val="0"/>
                  <w:marBottom w:val="0"/>
                  <w:divBdr>
                    <w:top w:val="none" w:sz="0" w:space="0" w:color="auto"/>
                    <w:left w:val="none" w:sz="0" w:space="0" w:color="auto"/>
                    <w:bottom w:val="none" w:sz="0" w:space="0" w:color="auto"/>
                    <w:right w:val="none" w:sz="0" w:space="0" w:color="auto"/>
                  </w:divBdr>
                  <w:divsChild>
                    <w:div w:id="890729058">
                      <w:marLeft w:val="0"/>
                      <w:marRight w:val="0"/>
                      <w:marTop w:val="0"/>
                      <w:marBottom w:val="0"/>
                      <w:divBdr>
                        <w:top w:val="none" w:sz="0" w:space="0" w:color="auto"/>
                        <w:left w:val="none" w:sz="0" w:space="0" w:color="auto"/>
                        <w:bottom w:val="none" w:sz="0" w:space="0" w:color="auto"/>
                        <w:right w:val="none" w:sz="0" w:space="0" w:color="auto"/>
                      </w:divBdr>
                    </w:div>
                  </w:divsChild>
                </w:div>
                <w:div w:id="804467953">
                  <w:marLeft w:val="0"/>
                  <w:marRight w:val="0"/>
                  <w:marTop w:val="0"/>
                  <w:marBottom w:val="0"/>
                  <w:divBdr>
                    <w:top w:val="none" w:sz="0" w:space="0" w:color="auto"/>
                    <w:left w:val="none" w:sz="0" w:space="0" w:color="auto"/>
                    <w:bottom w:val="none" w:sz="0" w:space="0" w:color="auto"/>
                    <w:right w:val="none" w:sz="0" w:space="0" w:color="auto"/>
                  </w:divBdr>
                  <w:divsChild>
                    <w:div w:id="538736823">
                      <w:marLeft w:val="0"/>
                      <w:marRight w:val="0"/>
                      <w:marTop w:val="0"/>
                      <w:marBottom w:val="0"/>
                      <w:divBdr>
                        <w:top w:val="none" w:sz="0" w:space="0" w:color="auto"/>
                        <w:left w:val="none" w:sz="0" w:space="0" w:color="auto"/>
                        <w:bottom w:val="none" w:sz="0" w:space="0" w:color="auto"/>
                        <w:right w:val="none" w:sz="0" w:space="0" w:color="auto"/>
                      </w:divBdr>
                    </w:div>
                  </w:divsChild>
                </w:div>
                <w:div w:id="825047547">
                  <w:marLeft w:val="0"/>
                  <w:marRight w:val="0"/>
                  <w:marTop w:val="0"/>
                  <w:marBottom w:val="0"/>
                  <w:divBdr>
                    <w:top w:val="none" w:sz="0" w:space="0" w:color="auto"/>
                    <w:left w:val="none" w:sz="0" w:space="0" w:color="auto"/>
                    <w:bottom w:val="none" w:sz="0" w:space="0" w:color="auto"/>
                    <w:right w:val="none" w:sz="0" w:space="0" w:color="auto"/>
                  </w:divBdr>
                  <w:divsChild>
                    <w:div w:id="700085988">
                      <w:marLeft w:val="0"/>
                      <w:marRight w:val="0"/>
                      <w:marTop w:val="0"/>
                      <w:marBottom w:val="0"/>
                      <w:divBdr>
                        <w:top w:val="none" w:sz="0" w:space="0" w:color="auto"/>
                        <w:left w:val="none" w:sz="0" w:space="0" w:color="auto"/>
                        <w:bottom w:val="none" w:sz="0" w:space="0" w:color="auto"/>
                        <w:right w:val="none" w:sz="0" w:space="0" w:color="auto"/>
                      </w:divBdr>
                    </w:div>
                  </w:divsChild>
                </w:div>
                <w:div w:id="1268733974">
                  <w:marLeft w:val="0"/>
                  <w:marRight w:val="0"/>
                  <w:marTop w:val="0"/>
                  <w:marBottom w:val="0"/>
                  <w:divBdr>
                    <w:top w:val="none" w:sz="0" w:space="0" w:color="auto"/>
                    <w:left w:val="none" w:sz="0" w:space="0" w:color="auto"/>
                    <w:bottom w:val="none" w:sz="0" w:space="0" w:color="auto"/>
                    <w:right w:val="none" w:sz="0" w:space="0" w:color="auto"/>
                  </w:divBdr>
                  <w:divsChild>
                    <w:div w:id="2037733321">
                      <w:marLeft w:val="0"/>
                      <w:marRight w:val="0"/>
                      <w:marTop w:val="0"/>
                      <w:marBottom w:val="0"/>
                      <w:divBdr>
                        <w:top w:val="none" w:sz="0" w:space="0" w:color="auto"/>
                        <w:left w:val="none" w:sz="0" w:space="0" w:color="auto"/>
                        <w:bottom w:val="none" w:sz="0" w:space="0" w:color="auto"/>
                        <w:right w:val="none" w:sz="0" w:space="0" w:color="auto"/>
                      </w:divBdr>
                    </w:div>
                  </w:divsChild>
                </w:div>
                <w:div w:id="67193453">
                  <w:marLeft w:val="0"/>
                  <w:marRight w:val="0"/>
                  <w:marTop w:val="0"/>
                  <w:marBottom w:val="0"/>
                  <w:divBdr>
                    <w:top w:val="none" w:sz="0" w:space="0" w:color="auto"/>
                    <w:left w:val="none" w:sz="0" w:space="0" w:color="auto"/>
                    <w:bottom w:val="none" w:sz="0" w:space="0" w:color="auto"/>
                    <w:right w:val="none" w:sz="0" w:space="0" w:color="auto"/>
                  </w:divBdr>
                  <w:divsChild>
                    <w:div w:id="1686905900">
                      <w:marLeft w:val="0"/>
                      <w:marRight w:val="0"/>
                      <w:marTop w:val="0"/>
                      <w:marBottom w:val="0"/>
                      <w:divBdr>
                        <w:top w:val="none" w:sz="0" w:space="0" w:color="auto"/>
                        <w:left w:val="none" w:sz="0" w:space="0" w:color="auto"/>
                        <w:bottom w:val="none" w:sz="0" w:space="0" w:color="auto"/>
                        <w:right w:val="none" w:sz="0" w:space="0" w:color="auto"/>
                      </w:divBdr>
                    </w:div>
                    <w:div w:id="12330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30999">
              <w:marLeft w:val="0"/>
              <w:marRight w:val="0"/>
              <w:marTop w:val="0"/>
              <w:marBottom w:val="0"/>
              <w:divBdr>
                <w:top w:val="none" w:sz="0" w:space="0" w:color="auto"/>
                <w:left w:val="none" w:sz="0" w:space="0" w:color="auto"/>
                <w:bottom w:val="none" w:sz="0" w:space="0" w:color="auto"/>
                <w:right w:val="none" w:sz="0" w:space="0" w:color="auto"/>
              </w:divBdr>
              <w:divsChild>
                <w:div w:id="1337421406">
                  <w:marLeft w:val="0"/>
                  <w:marRight w:val="0"/>
                  <w:marTop w:val="0"/>
                  <w:marBottom w:val="0"/>
                  <w:divBdr>
                    <w:top w:val="none" w:sz="0" w:space="0" w:color="auto"/>
                    <w:left w:val="none" w:sz="0" w:space="0" w:color="auto"/>
                    <w:bottom w:val="none" w:sz="0" w:space="0" w:color="auto"/>
                    <w:right w:val="none" w:sz="0" w:space="0" w:color="auto"/>
                  </w:divBdr>
                </w:div>
                <w:div w:id="1132136291">
                  <w:marLeft w:val="0"/>
                  <w:marRight w:val="0"/>
                  <w:marTop w:val="0"/>
                  <w:marBottom w:val="0"/>
                  <w:divBdr>
                    <w:top w:val="none" w:sz="0" w:space="0" w:color="auto"/>
                    <w:left w:val="none" w:sz="0" w:space="0" w:color="auto"/>
                    <w:bottom w:val="none" w:sz="0" w:space="0" w:color="auto"/>
                    <w:right w:val="none" w:sz="0" w:space="0" w:color="auto"/>
                  </w:divBdr>
                </w:div>
              </w:divsChild>
            </w:div>
            <w:div w:id="1275791546">
              <w:marLeft w:val="0"/>
              <w:marRight w:val="0"/>
              <w:marTop w:val="0"/>
              <w:marBottom w:val="0"/>
              <w:divBdr>
                <w:top w:val="none" w:sz="0" w:space="0" w:color="auto"/>
                <w:left w:val="none" w:sz="0" w:space="0" w:color="auto"/>
                <w:bottom w:val="none" w:sz="0" w:space="0" w:color="auto"/>
                <w:right w:val="none" w:sz="0" w:space="0" w:color="auto"/>
              </w:divBdr>
              <w:divsChild>
                <w:div w:id="892280165">
                  <w:marLeft w:val="0"/>
                  <w:marRight w:val="0"/>
                  <w:marTop w:val="0"/>
                  <w:marBottom w:val="0"/>
                  <w:divBdr>
                    <w:top w:val="none" w:sz="0" w:space="0" w:color="auto"/>
                    <w:left w:val="none" w:sz="0" w:space="0" w:color="auto"/>
                    <w:bottom w:val="none" w:sz="0" w:space="0" w:color="auto"/>
                    <w:right w:val="none" w:sz="0" w:space="0" w:color="auto"/>
                  </w:divBdr>
                </w:div>
                <w:div w:id="979194671">
                  <w:marLeft w:val="0"/>
                  <w:marRight w:val="0"/>
                  <w:marTop w:val="0"/>
                  <w:marBottom w:val="0"/>
                  <w:divBdr>
                    <w:top w:val="none" w:sz="0" w:space="0" w:color="auto"/>
                    <w:left w:val="none" w:sz="0" w:space="0" w:color="auto"/>
                    <w:bottom w:val="none" w:sz="0" w:space="0" w:color="auto"/>
                    <w:right w:val="none" w:sz="0" w:space="0" w:color="auto"/>
                  </w:divBdr>
                </w:div>
              </w:divsChild>
            </w:div>
            <w:div w:id="1022903927">
              <w:marLeft w:val="0"/>
              <w:marRight w:val="0"/>
              <w:marTop w:val="0"/>
              <w:marBottom w:val="0"/>
              <w:divBdr>
                <w:top w:val="none" w:sz="0" w:space="0" w:color="auto"/>
                <w:left w:val="none" w:sz="0" w:space="0" w:color="auto"/>
                <w:bottom w:val="none" w:sz="0" w:space="0" w:color="auto"/>
                <w:right w:val="none" w:sz="0" w:space="0" w:color="auto"/>
              </w:divBdr>
              <w:divsChild>
                <w:div w:id="1412195436">
                  <w:marLeft w:val="0"/>
                  <w:marRight w:val="0"/>
                  <w:marTop w:val="0"/>
                  <w:marBottom w:val="0"/>
                  <w:divBdr>
                    <w:top w:val="none" w:sz="0" w:space="0" w:color="auto"/>
                    <w:left w:val="none" w:sz="0" w:space="0" w:color="auto"/>
                    <w:bottom w:val="none" w:sz="0" w:space="0" w:color="auto"/>
                    <w:right w:val="none" w:sz="0" w:space="0" w:color="auto"/>
                  </w:divBdr>
                </w:div>
                <w:div w:id="92800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4922">
      <w:bodyDiv w:val="1"/>
      <w:marLeft w:val="0"/>
      <w:marRight w:val="0"/>
      <w:marTop w:val="0"/>
      <w:marBottom w:val="0"/>
      <w:divBdr>
        <w:top w:val="none" w:sz="0" w:space="0" w:color="auto"/>
        <w:left w:val="none" w:sz="0" w:space="0" w:color="auto"/>
        <w:bottom w:val="none" w:sz="0" w:space="0" w:color="auto"/>
        <w:right w:val="none" w:sz="0" w:space="0" w:color="auto"/>
      </w:divBdr>
      <w:divsChild>
        <w:div w:id="548033906">
          <w:marLeft w:val="0"/>
          <w:marRight w:val="0"/>
          <w:marTop w:val="0"/>
          <w:marBottom w:val="0"/>
          <w:divBdr>
            <w:top w:val="none" w:sz="0" w:space="0" w:color="auto"/>
            <w:left w:val="none" w:sz="0" w:space="0" w:color="auto"/>
            <w:bottom w:val="none" w:sz="0" w:space="0" w:color="auto"/>
            <w:right w:val="none" w:sz="0" w:space="0" w:color="auto"/>
          </w:divBdr>
          <w:divsChild>
            <w:div w:id="1289317761">
              <w:marLeft w:val="0"/>
              <w:marRight w:val="0"/>
              <w:marTop w:val="0"/>
              <w:marBottom w:val="0"/>
              <w:divBdr>
                <w:top w:val="none" w:sz="0" w:space="0" w:color="auto"/>
                <w:left w:val="none" w:sz="0" w:space="0" w:color="auto"/>
                <w:bottom w:val="none" w:sz="0" w:space="0" w:color="auto"/>
                <w:right w:val="none" w:sz="0" w:space="0" w:color="auto"/>
              </w:divBdr>
              <w:divsChild>
                <w:div w:id="1903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119318">
      <w:bodyDiv w:val="1"/>
      <w:marLeft w:val="0"/>
      <w:marRight w:val="0"/>
      <w:marTop w:val="0"/>
      <w:marBottom w:val="0"/>
      <w:divBdr>
        <w:top w:val="none" w:sz="0" w:space="0" w:color="auto"/>
        <w:left w:val="none" w:sz="0" w:space="0" w:color="auto"/>
        <w:bottom w:val="none" w:sz="0" w:space="0" w:color="auto"/>
        <w:right w:val="none" w:sz="0" w:space="0" w:color="auto"/>
      </w:divBdr>
      <w:divsChild>
        <w:div w:id="51394758">
          <w:marLeft w:val="0"/>
          <w:marRight w:val="0"/>
          <w:marTop w:val="0"/>
          <w:marBottom w:val="0"/>
          <w:divBdr>
            <w:top w:val="none" w:sz="0" w:space="0" w:color="auto"/>
            <w:left w:val="none" w:sz="0" w:space="0" w:color="auto"/>
            <w:bottom w:val="none" w:sz="0" w:space="0" w:color="auto"/>
            <w:right w:val="none" w:sz="0" w:space="0" w:color="auto"/>
          </w:divBdr>
          <w:divsChild>
            <w:div w:id="391849870">
              <w:marLeft w:val="0"/>
              <w:marRight w:val="0"/>
              <w:marTop w:val="0"/>
              <w:marBottom w:val="0"/>
              <w:divBdr>
                <w:top w:val="none" w:sz="0" w:space="0" w:color="auto"/>
                <w:left w:val="none" w:sz="0" w:space="0" w:color="auto"/>
                <w:bottom w:val="none" w:sz="0" w:space="0" w:color="auto"/>
                <w:right w:val="none" w:sz="0" w:space="0" w:color="auto"/>
              </w:divBdr>
              <w:divsChild>
                <w:div w:id="53237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77754">
      <w:bodyDiv w:val="1"/>
      <w:marLeft w:val="0"/>
      <w:marRight w:val="0"/>
      <w:marTop w:val="0"/>
      <w:marBottom w:val="0"/>
      <w:divBdr>
        <w:top w:val="none" w:sz="0" w:space="0" w:color="auto"/>
        <w:left w:val="none" w:sz="0" w:space="0" w:color="auto"/>
        <w:bottom w:val="none" w:sz="0" w:space="0" w:color="auto"/>
        <w:right w:val="none" w:sz="0" w:space="0" w:color="auto"/>
      </w:divBdr>
      <w:divsChild>
        <w:div w:id="1941326767">
          <w:marLeft w:val="0"/>
          <w:marRight w:val="0"/>
          <w:marTop w:val="0"/>
          <w:marBottom w:val="0"/>
          <w:divBdr>
            <w:top w:val="none" w:sz="0" w:space="0" w:color="auto"/>
            <w:left w:val="none" w:sz="0" w:space="0" w:color="auto"/>
            <w:bottom w:val="none" w:sz="0" w:space="0" w:color="auto"/>
            <w:right w:val="none" w:sz="0" w:space="0" w:color="auto"/>
          </w:divBdr>
          <w:divsChild>
            <w:div w:id="1303536096">
              <w:marLeft w:val="0"/>
              <w:marRight w:val="0"/>
              <w:marTop w:val="0"/>
              <w:marBottom w:val="0"/>
              <w:divBdr>
                <w:top w:val="none" w:sz="0" w:space="0" w:color="auto"/>
                <w:left w:val="none" w:sz="0" w:space="0" w:color="auto"/>
                <w:bottom w:val="none" w:sz="0" w:space="0" w:color="auto"/>
                <w:right w:val="none" w:sz="0" w:space="0" w:color="auto"/>
              </w:divBdr>
              <w:divsChild>
                <w:div w:id="106767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256488">
      <w:bodyDiv w:val="1"/>
      <w:marLeft w:val="0"/>
      <w:marRight w:val="0"/>
      <w:marTop w:val="0"/>
      <w:marBottom w:val="0"/>
      <w:divBdr>
        <w:top w:val="none" w:sz="0" w:space="0" w:color="auto"/>
        <w:left w:val="none" w:sz="0" w:space="0" w:color="auto"/>
        <w:bottom w:val="none" w:sz="0" w:space="0" w:color="auto"/>
        <w:right w:val="none" w:sz="0" w:space="0" w:color="auto"/>
      </w:divBdr>
    </w:div>
    <w:div w:id="243102765">
      <w:bodyDiv w:val="1"/>
      <w:marLeft w:val="0"/>
      <w:marRight w:val="0"/>
      <w:marTop w:val="0"/>
      <w:marBottom w:val="0"/>
      <w:divBdr>
        <w:top w:val="none" w:sz="0" w:space="0" w:color="auto"/>
        <w:left w:val="none" w:sz="0" w:space="0" w:color="auto"/>
        <w:bottom w:val="none" w:sz="0" w:space="0" w:color="auto"/>
        <w:right w:val="none" w:sz="0" w:space="0" w:color="auto"/>
      </w:divBdr>
      <w:divsChild>
        <w:div w:id="55204200">
          <w:marLeft w:val="0"/>
          <w:marRight w:val="0"/>
          <w:marTop w:val="0"/>
          <w:marBottom w:val="0"/>
          <w:divBdr>
            <w:top w:val="none" w:sz="0" w:space="0" w:color="auto"/>
            <w:left w:val="none" w:sz="0" w:space="0" w:color="auto"/>
            <w:bottom w:val="none" w:sz="0" w:space="0" w:color="auto"/>
            <w:right w:val="none" w:sz="0" w:space="0" w:color="auto"/>
          </w:divBdr>
          <w:divsChild>
            <w:div w:id="1571304475">
              <w:marLeft w:val="0"/>
              <w:marRight w:val="0"/>
              <w:marTop w:val="0"/>
              <w:marBottom w:val="0"/>
              <w:divBdr>
                <w:top w:val="none" w:sz="0" w:space="0" w:color="auto"/>
                <w:left w:val="none" w:sz="0" w:space="0" w:color="auto"/>
                <w:bottom w:val="none" w:sz="0" w:space="0" w:color="auto"/>
                <w:right w:val="none" w:sz="0" w:space="0" w:color="auto"/>
              </w:divBdr>
              <w:divsChild>
                <w:div w:id="163239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730398">
      <w:bodyDiv w:val="1"/>
      <w:marLeft w:val="0"/>
      <w:marRight w:val="0"/>
      <w:marTop w:val="0"/>
      <w:marBottom w:val="0"/>
      <w:divBdr>
        <w:top w:val="none" w:sz="0" w:space="0" w:color="auto"/>
        <w:left w:val="none" w:sz="0" w:space="0" w:color="auto"/>
        <w:bottom w:val="none" w:sz="0" w:space="0" w:color="auto"/>
        <w:right w:val="none" w:sz="0" w:space="0" w:color="auto"/>
      </w:divBdr>
      <w:divsChild>
        <w:div w:id="2132094706">
          <w:marLeft w:val="0"/>
          <w:marRight w:val="0"/>
          <w:marTop w:val="0"/>
          <w:marBottom w:val="0"/>
          <w:divBdr>
            <w:top w:val="none" w:sz="0" w:space="0" w:color="auto"/>
            <w:left w:val="none" w:sz="0" w:space="0" w:color="auto"/>
            <w:bottom w:val="none" w:sz="0" w:space="0" w:color="auto"/>
            <w:right w:val="none" w:sz="0" w:space="0" w:color="auto"/>
          </w:divBdr>
          <w:divsChild>
            <w:div w:id="1788617030">
              <w:marLeft w:val="0"/>
              <w:marRight w:val="0"/>
              <w:marTop w:val="0"/>
              <w:marBottom w:val="0"/>
              <w:divBdr>
                <w:top w:val="none" w:sz="0" w:space="0" w:color="auto"/>
                <w:left w:val="none" w:sz="0" w:space="0" w:color="auto"/>
                <w:bottom w:val="none" w:sz="0" w:space="0" w:color="auto"/>
                <w:right w:val="none" w:sz="0" w:space="0" w:color="auto"/>
              </w:divBdr>
              <w:divsChild>
                <w:div w:id="762645801">
                  <w:marLeft w:val="0"/>
                  <w:marRight w:val="0"/>
                  <w:marTop w:val="0"/>
                  <w:marBottom w:val="0"/>
                  <w:divBdr>
                    <w:top w:val="none" w:sz="0" w:space="0" w:color="auto"/>
                    <w:left w:val="none" w:sz="0" w:space="0" w:color="auto"/>
                    <w:bottom w:val="none" w:sz="0" w:space="0" w:color="auto"/>
                    <w:right w:val="none" w:sz="0" w:space="0" w:color="auto"/>
                  </w:divBdr>
                  <w:divsChild>
                    <w:div w:id="109872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79412">
      <w:bodyDiv w:val="1"/>
      <w:marLeft w:val="0"/>
      <w:marRight w:val="0"/>
      <w:marTop w:val="0"/>
      <w:marBottom w:val="0"/>
      <w:divBdr>
        <w:top w:val="none" w:sz="0" w:space="0" w:color="auto"/>
        <w:left w:val="none" w:sz="0" w:space="0" w:color="auto"/>
        <w:bottom w:val="none" w:sz="0" w:space="0" w:color="auto"/>
        <w:right w:val="none" w:sz="0" w:space="0" w:color="auto"/>
      </w:divBdr>
      <w:divsChild>
        <w:div w:id="579406796">
          <w:marLeft w:val="0"/>
          <w:marRight w:val="0"/>
          <w:marTop w:val="0"/>
          <w:marBottom w:val="0"/>
          <w:divBdr>
            <w:top w:val="none" w:sz="0" w:space="0" w:color="auto"/>
            <w:left w:val="none" w:sz="0" w:space="0" w:color="auto"/>
            <w:bottom w:val="none" w:sz="0" w:space="0" w:color="auto"/>
            <w:right w:val="none" w:sz="0" w:space="0" w:color="auto"/>
          </w:divBdr>
          <w:divsChild>
            <w:div w:id="1905918296">
              <w:marLeft w:val="0"/>
              <w:marRight w:val="0"/>
              <w:marTop w:val="0"/>
              <w:marBottom w:val="0"/>
              <w:divBdr>
                <w:top w:val="none" w:sz="0" w:space="0" w:color="auto"/>
                <w:left w:val="none" w:sz="0" w:space="0" w:color="auto"/>
                <w:bottom w:val="none" w:sz="0" w:space="0" w:color="auto"/>
                <w:right w:val="none" w:sz="0" w:space="0" w:color="auto"/>
              </w:divBdr>
              <w:divsChild>
                <w:div w:id="16007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457148">
      <w:bodyDiv w:val="1"/>
      <w:marLeft w:val="0"/>
      <w:marRight w:val="0"/>
      <w:marTop w:val="0"/>
      <w:marBottom w:val="0"/>
      <w:divBdr>
        <w:top w:val="none" w:sz="0" w:space="0" w:color="auto"/>
        <w:left w:val="none" w:sz="0" w:space="0" w:color="auto"/>
        <w:bottom w:val="none" w:sz="0" w:space="0" w:color="auto"/>
        <w:right w:val="none" w:sz="0" w:space="0" w:color="auto"/>
      </w:divBdr>
      <w:divsChild>
        <w:div w:id="503515450">
          <w:marLeft w:val="0"/>
          <w:marRight w:val="0"/>
          <w:marTop w:val="0"/>
          <w:marBottom w:val="0"/>
          <w:divBdr>
            <w:top w:val="none" w:sz="0" w:space="0" w:color="auto"/>
            <w:left w:val="none" w:sz="0" w:space="0" w:color="auto"/>
            <w:bottom w:val="none" w:sz="0" w:space="0" w:color="auto"/>
            <w:right w:val="none" w:sz="0" w:space="0" w:color="auto"/>
          </w:divBdr>
          <w:divsChild>
            <w:div w:id="704910949">
              <w:marLeft w:val="0"/>
              <w:marRight w:val="0"/>
              <w:marTop w:val="0"/>
              <w:marBottom w:val="0"/>
              <w:divBdr>
                <w:top w:val="none" w:sz="0" w:space="0" w:color="auto"/>
                <w:left w:val="none" w:sz="0" w:space="0" w:color="auto"/>
                <w:bottom w:val="none" w:sz="0" w:space="0" w:color="auto"/>
                <w:right w:val="none" w:sz="0" w:space="0" w:color="auto"/>
              </w:divBdr>
              <w:divsChild>
                <w:div w:id="1097747042">
                  <w:marLeft w:val="0"/>
                  <w:marRight w:val="0"/>
                  <w:marTop w:val="0"/>
                  <w:marBottom w:val="0"/>
                  <w:divBdr>
                    <w:top w:val="none" w:sz="0" w:space="0" w:color="auto"/>
                    <w:left w:val="none" w:sz="0" w:space="0" w:color="auto"/>
                    <w:bottom w:val="none" w:sz="0" w:space="0" w:color="auto"/>
                    <w:right w:val="none" w:sz="0" w:space="0" w:color="auto"/>
                  </w:divBdr>
                  <w:divsChild>
                    <w:div w:id="20130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930133">
      <w:bodyDiv w:val="1"/>
      <w:marLeft w:val="0"/>
      <w:marRight w:val="0"/>
      <w:marTop w:val="0"/>
      <w:marBottom w:val="0"/>
      <w:divBdr>
        <w:top w:val="none" w:sz="0" w:space="0" w:color="auto"/>
        <w:left w:val="none" w:sz="0" w:space="0" w:color="auto"/>
        <w:bottom w:val="none" w:sz="0" w:space="0" w:color="auto"/>
        <w:right w:val="none" w:sz="0" w:space="0" w:color="auto"/>
      </w:divBdr>
    </w:div>
    <w:div w:id="302589173">
      <w:bodyDiv w:val="1"/>
      <w:marLeft w:val="0"/>
      <w:marRight w:val="0"/>
      <w:marTop w:val="0"/>
      <w:marBottom w:val="0"/>
      <w:divBdr>
        <w:top w:val="none" w:sz="0" w:space="0" w:color="auto"/>
        <w:left w:val="none" w:sz="0" w:space="0" w:color="auto"/>
        <w:bottom w:val="none" w:sz="0" w:space="0" w:color="auto"/>
        <w:right w:val="none" w:sz="0" w:space="0" w:color="auto"/>
      </w:divBdr>
      <w:divsChild>
        <w:div w:id="1487475857">
          <w:marLeft w:val="0"/>
          <w:marRight w:val="0"/>
          <w:marTop w:val="0"/>
          <w:marBottom w:val="0"/>
          <w:divBdr>
            <w:top w:val="none" w:sz="0" w:space="0" w:color="auto"/>
            <w:left w:val="none" w:sz="0" w:space="0" w:color="auto"/>
            <w:bottom w:val="none" w:sz="0" w:space="0" w:color="auto"/>
            <w:right w:val="none" w:sz="0" w:space="0" w:color="auto"/>
          </w:divBdr>
          <w:divsChild>
            <w:div w:id="1509711377">
              <w:marLeft w:val="0"/>
              <w:marRight w:val="0"/>
              <w:marTop w:val="0"/>
              <w:marBottom w:val="0"/>
              <w:divBdr>
                <w:top w:val="none" w:sz="0" w:space="0" w:color="auto"/>
                <w:left w:val="none" w:sz="0" w:space="0" w:color="auto"/>
                <w:bottom w:val="none" w:sz="0" w:space="0" w:color="auto"/>
                <w:right w:val="none" w:sz="0" w:space="0" w:color="auto"/>
              </w:divBdr>
              <w:divsChild>
                <w:div w:id="10706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63090">
      <w:bodyDiv w:val="1"/>
      <w:marLeft w:val="0"/>
      <w:marRight w:val="0"/>
      <w:marTop w:val="0"/>
      <w:marBottom w:val="0"/>
      <w:divBdr>
        <w:top w:val="none" w:sz="0" w:space="0" w:color="auto"/>
        <w:left w:val="none" w:sz="0" w:space="0" w:color="auto"/>
        <w:bottom w:val="none" w:sz="0" w:space="0" w:color="auto"/>
        <w:right w:val="none" w:sz="0" w:space="0" w:color="auto"/>
      </w:divBdr>
      <w:divsChild>
        <w:div w:id="1437285270">
          <w:marLeft w:val="0"/>
          <w:marRight w:val="0"/>
          <w:marTop w:val="0"/>
          <w:marBottom w:val="0"/>
          <w:divBdr>
            <w:top w:val="none" w:sz="0" w:space="0" w:color="auto"/>
            <w:left w:val="none" w:sz="0" w:space="0" w:color="auto"/>
            <w:bottom w:val="none" w:sz="0" w:space="0" w:color="auto"/>
            <w:right w:val="none" w:sz="0" w:space="0" w:color="auto"/>
          </w:divBdr>
          <w:divsChild>
            <w:div w:id="25982226">
              <w:marLeft w:val="0"/>
              <w:marRight w:val="0"/>
              <w:marTop w:val="0"/>
              <w:marBottom w:val="0"/>
              <w:divBdr>
                <w:top w:val="none" w:sz="0" w:space="0" w:color="auto"/>
                <w:left w:val="none" w:sz="0" w:space="0" w:color="auto"/>
                <w:bottom w:val="none" w:sz="0" w:space="0" w:color="auto"/>
                <w:right w:val="none" w:sz="0" w:space="0" w:color="auto"/>
              </w:divBdr>
              <w:divsChild>
                <w:div w:id="2896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1652">
      <w:bodyDiv w:val="1"/>
      <w:marLeft w:val="0"/>
      <w:marRight w:val="0"/>
      <w:marTop w:val="0"/>
      <w:marBottom w:val="0"/>
      <w:divBdr>
        <w:top w:val="none" w:sz="0" w:space="0" w:color="auto"/>
        <w:left w:val="none" w:sz="0" w:space="0" w:color="auto"/>
        <w:bottom w:val="none" w:sz="0" w:space="0" w:color="auto"/>
        <w:right w:val="none" w:sz="0" w:space="0" w:color="auto"/>
      </w:divBdr>
      <w:divsChild>
        <w:div w:id="174661695">
          <w:marLeft w:val="0"/>
          <w:marRight w:val="0"/>
          <w:marTop w:val="0"/>
          <w:marBottom w:val="0"/>
          <w:divBdr>
            <w:top w:val="none" w:sz="0" w:space="0" w:color="auto"/>
            <w:left w:val="none" w:sz="0" w:space="0" w:color="auto"/>
            <w:bottom w:val="none" w:sz="0" w:space="0" w:color="auto"/>
            <w:right w:val="none" w:sz="0" w:space="0" w:color="auto"/>
          </w:divBdr>
          <w:divsChild>
            <w:div w:id="919094023">
              <w:marLeft w:val="0"/>
              <w:marRight w:val="0"/>
              <w:marTop w:val="0"/>
              <w:marBottom w:val="0"/>
              <w:divBdr>
                <w:top w:val="none" w:sz="0" w:space="0" w:color="auto"/>
                <w:left w:val="none" w:sz="0" w:space="0" w:color="auto"/>
                <w:bottom w:val="none" w:sz="0" w:space="0" w:color="auto"/>
                <w:right w:val="none" w:sz="0" w:space="0" w:color="auto"/>
              </w:divBdr>
              <w:divsChild>
                <w:div w:id="168224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95554">
      <w:bodyDiv w:val="1"/>
      <w:marLeft w:val="0"/>
      <w:marRight w:val="0"/>
      <w:marTop w:val="0"/>
      <w:marBottom w:val="0"/>
      <w:divBdr>
        <w:top w:val="none" w:sz="0" w:space="0" w:color="auto"/>
        <w:left w:val="none" w:sz="0" w:space="0" w:color="auto"/>
        <w:bottom w:val="none" w:sz="0" w:space="0" w:color="auto"/>
        <w:right w:val="none" w:sz="0" w:space="0" w:color="auto"/>
      </w:divBdr>
      <w:divsChild>
        <w:div w:id="459616450">
          <w:marLeft w:val="0"/>
          <w:marRight w:val="0"/>
          <w:marTop w:val="0"/>
          <w:marBottom w:val="0"/>
          <w:divBdr>
            <w:top w:val="none" w:sz="0" w:space="0" w:color="auto"/>
            <w:left w:val="none" w:sz="0" w:space="0" w:color="auto"/>
            <w:bottom w:val="none" w:sz="0" w:space="0" w:color="auto"/>
            <w:right w:val="none" w:sz="0" w:space="0" w:color="auto"/>
          </w:divBdr>
          <w:divsChild>
            <w:div w:id="687831916">
              <w:marLeft w:val="0"/>
              <w:marRight w:val="0"/>
              <w:marTop w:val="0"/>
              <w:marBottom w:val="0"/>
              <w:divBdr>
                <w:top w:val="none" w:sz="0" w:space="0" w:color="auto"/>
                <w:left w:val="none" w:sz="0" w:space="0" w:color="auto"/>
                <w:bottom w:val="none" w:sz="0" w:space="0" w:color="auto"/>
                <w:right w:val="none" w:sz="0" w:space="0" w:color="auto"/>
              </w:divBdr>
              <w:divsChild>
                <w:div w:id="30775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5322">
      <w:bodyDiv w:val="1"/>
      <w:marLeft w:val="0"/>
      <w:marRight w:val="0"/>
      <w:marTop w:val="0"/>
      <w:marBottom w:val="0"/>
      <w:divBdr>
        <w:top w:val="none" w:sz="0" w:space="0" w:color="auto"/>
        <w:left w:val="none" w:sz="0" w:space="0" w:color="auto"/>
        <w:bottom w:val="none" w:sz="0" w:space="0" w:color="auto"/>
        <w:right w:val="none" w:sz="0" w:space="0" w:color="auto"/>
      </w:divBdr>
      <w:divsChild>
        <w:div w:id="1970743413">
          <w:marLeft w:val="0"/>
          <w:marRight w:val="0"/>
          <w:marTop w:val="0"/>
          <w:marBottom w:val="0"/>
          <w:divBdr>
            <w:top w:val="none" w:sz="0" w:space="0" w:color="auto"/>
            <w:left w:val="none" w:sz="0" w:space="0" w:color="auto"/>
            <w:bottom w:val="none" w:sz="0" w:space="0" w:color="auto"/>
            <w:right w:val="none" w:sz="0" w:space="0" w:color="auto"/>
          </w:divBdr>
          <w:divsChild>
            <w:div w:id="175001448">
              <w:marLeft w:val="0"/>
              <w:marRight w:val="0"/>
              <w:marTop w:val="0"/>
              <w:marBottom w:val="0"/>
              <w:divBdr>
                <w:top w:val="none" w:sz="0" w:space="0" w:color="auto"/>
                <w:left w:val="none" w:sz="0" w:space="0" w:color="auto"/>
                <w:bottom w:val="none" w:sz="0" w:space="0" w:color="auto"/>
                <w:right w:val="none" w:sz="0" w:space="0" w:color="auto"/>
              </w:divBdr>
              <w:divsChild>
                <w:div w:id="167702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165012">
      <w:bodyDiv w:val="1"/>
      <w:marLeft w:val="0"/>
      <w:marRight w:val="0"/>
      <w:marTop w:val="0"/>
      <w:marBottom w:val="0"/>
      <w:divBdr>
        <w:top w:val="none" w:sz="0" w:space="0" w:color="auto"/>
        <w:left w:val="none" w:sz="0" w:space="0" w:color="auto"/>
        <w:bottom w:val="none" w:sz="0" w:space="0" w:color="auto"/>
        <w:right w:val="none" w:sz="0" w:space="0" w:color="auto"/>
      </w:divBdr>
      <w:divsChild>
        <w:div w:id="490147057">
          <w:marLeft w:val="0"/>
          <w:marRight w:val="0"/>
          <w:marTop w:val="0"/>
          <w:marBottom w:val="0"/>
          <w:divBdr>
            <w:top w:val="none" w:sz="0" w:space="0" w:color="auto"/>
            <w:left w:val="none" w:sz="0" w:space="0" w:color="auto"/>
            <w:bottom w:val="none" w:sz="0" w:space="0" w:color="auto"/>
            <w:right w:val="none" w:sz="0" w:space="0" w:color="auto"/>
          </w:divBdr>
          <w:divsChild>
            <w:div w:id="1799180554">
              <w:marLeft w:val="0"/>
              <w:marRight w:val="0"/>
              <w:marTop w:val="0"/>
              <w:marBottom w:val="0"/>
              <w:divBdr>
                <w:top w:val="none" w:sz="0" w:space="0" w:color="auto"/>
                <w:left w:val="none" w:sz="0" w:space="0" w:color="auto"/>
                <w:bottom w:val="none" w:sz="0" w:space="0" w:color="auto"/>
                <w:right w:val="none" w:sz="0" w:space="0" w:color="auto"/>
              </w:divBdr>
              <w:divsChild>
                <w:div w:id="1198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334920">
      <w:bodyDiv w:val="1"/>
      <w:marLeft w:val="0"/>
      <w:marRight w:val="0"/>
      <w:marTop w:val="0"/>
      <w:marBottom w:val="0"/>
      <w:divBdr>
        <w:top w:val="none" w:sz="0" w:space="0" w:color="auto"/>
        <w:left w:val="none" w:sz="0" w:space="0" w:color="auto"/>
        <w:bottom w:val="none" w:sz="0" w:space="0" w:color="auto"/>
        <w:right w:val="none" w:sz="0" w:space="0" w:color="auto"/>
      </w:divBdr>
      <w:divsChild>
        <w:div w:id="1205949376">
          <w:marLeft w:val="0"/>
          <w:marRight w:val="0"/>
          <w:marTop w:val="0"/>
          <w:marBottom w:val="0"/>
          <w:divBdr>
            <w:top w:val="none" w:sz="0" w:space="0" w:color="auto"/>
            <w:left w:val="none" w:sz="0" w:space="0" w:color="auto"/>
            <w:bottom w:val="none" w:sz="0" w:space="0" w:color="auto"/>
            <w:right w:val="none" w:sz="0" w:space="0" w:color="auto"/>
          </w:divBdr>
          <w:divsChild>
            <w:div w:id="1202131784">
              <w:marLeft w:val="0"/>
              <w:marRight w:val="0"/>
              <w:marTop w:val="0"/>
              <w:marBottom w:val="0"/>
              <w:divBdr>
                <w:top w:val="none" w:sz="0" w:space="0" w:color="auto"/>
                <w:left w:val="none" w:sz="0" w:space="0" w:color="auto"/>
                <w:bottom w:val="none" w:sz="0" w:space="0" w:color="auto"/>
                <w:right w:val="none" w:sz="0" w:space="0" w:color="auto"/>
              </w:divBdr>
              <w:divsChild>
                <w:div w:id="1932545785">
                  <w:marLeft w:val="0"/>
                  <w:marRight w:val="0"/>
                  <w:marTop w:val="0"/>
                  <w:marBottom w:val="0"/>
                  <w:divBdr>
                    <w:top w:val="none" w:sz="0" w:space="0" w:color="auto"/>
                    <w:left w:val="none" w:sz="0" w:space="0" w:color="auto"/>
                    <w:bottom w:val="none" w:sz="0" w:space="0" w:color="auto"/>
                    <w:right w:val="none" w:sz="0" w:space="0" w:color="auto"/>
                  </w:divBdr>
                  <w:divsChild>
                    <w:div w:id="21223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71889">
      <w:bodyDiv w:val="1"/>
      <w:marLeft w:val="0"/>
      <w:marRight w:val="0"/>
      <w:marTop w:val="0"/>
      <w:marBottom w:val="0"/>
      <w:divBdr>
        <w:top w:val="none" w:sz="0" w:space="0" w:color="auto"/>
        <w:left w:val="none" w:sz="0" w:space="0" w:color="auto"/>
        <w:bottom w:val="none" w:sz="0" w:space="0" w:color="auto"/>
        <w:right w:val="none" w:sz="0" w:space="0" w:color="auto"/>
      </w:divBdr>
      <w:divsChild>
        <w:div w:id="1470169709">
          <w:marLeft w:val="0"/>
          <w:marRight w:val="0"/>
          <w:marTop w:val="0"/>
          <w:marBottom w:val="0"/>
          <w:divBdr>
            <w:top w:val="none" w:sz="0" w:space="0" w:color="auto"/>
            <w:left w:val="none" w:sz="0" w:space="0" w:color="auto"/>
            <w:bottom w:val="none" w:sz="0" w:space="0" w:color="auto"/>
            <w:right w:val="none" w:sz="0" w:space="0" w:color="auto"/>
          </w:divBdr>
          <w:divsChild>
            <w:div w:id="716854780">
              <w:marLeft w:val="0"/>
              <w:marRight w:val="0"/>
              <w:marTop w:val="0"/>
              <w:marBottom w:val="0"/>
              <w:divBdr>
                <w:top w:val="none" w:sz="0" w:space="0" w:color="auto"/>
                <w:left w:val="none" w:sz="0" w:space="0" w:color="auto"/>
                <w:bottom w:val="none" w:sz="0" w:space="0" w:color="auto"/>
                <w:right w:val="none" w:sz="0" w:space="0" w:color="auto"/>
              </w:divBdr>
              <w:divsChild>
                <w:div w:id="30431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45440">
      <w:bodyDiv w:val="1"/>
      <w:marLeft w:val="0"/>
      <w:marRight w:val="0"/>
      <w:marTop w:val="0"/>
      <w:marBottom w:val="0"/>
      <w:divBdr>
        <w:top w:val="none" w:sz="0" w:space="0" w:color="auto"/>
        <w:left w:val="none" w:sz="0" w:space="0" w:color="auto"/>
        <w:bottom w:val="none" w:sz="0" w:space="0" w:color="auto"/>
        <w:right w:val="none" w:sz="0" w:space="0" w:color="auto"/>
      </w:divBdr>
      <w:divsChild>
        <w:div w:id="1534490619">
          <w:marLeft w:val="0"/>
          <w:marRight w:val="0"/>
          <w:marTop w:val="0"/>
          <w:marBottom w:val="0"/>
          <w:divBdr>
            <w:top w:val="none" w:sz="0" w:space="0" w:color="auto"/>
            <w:left w:val="none" w:sz="0" w:space="0" w:color="auto"/>
            <w:bottom w:val="none" w:sz="0" w:space="0" w:color="auto"/>
            <w:right w:val="none" w:sz="0" w:space="0" w:color="auto"/>
          </w:divBdr>
          <w:divsChild>
            <w:div w:id="1623345022">
              <w:marLeft w:val="0"/>
              <w:marRight w:val="0"/>
              <w:marTop w:val="0"/>
              <w:marBottom w:val="0"/>
              <w:divBdr>
                <w:top w:val="none" w:sz="0" w:space="0" w:color="auto"/>
                <w:left w:val="none" w:sz="0" w:space="0" w:color="auto"/>
                <w:bottom w:val="none" w:sz="0" w:space="0" w:color="auto"/>
                <w:right w:val="none" w:sz="0" w:space="0" w:color="auto"/>
              </w:divBdr>
              <w:divsChild>
                <w:div w:id="12662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04355">
      <w:bodyDiv w:val="1"/>
      <w:marLeft w:val="0"/>
      <w:marRight w:val="0"/>
      <w:marTop w:val="0"/>
      <w:marBottom w:val="0"/>
      <w:divBdr>
        <w:top w:val="none" w:sz="0" w:space="0" w:color="auto"/>
        <w:left w:val="none" w:sz="0" w:space="0" w:color="auto"/>
        <w:bottom w:val="none" w:sz="0" w:space="0" w:color="auto"/>
        <w:right w:val="none" w:sz="0" w:space="0" w:color="auto"/>
      </w:divBdr>
      <w:divsChild>
        <w:div w:id="632297955">
          <w:marLeft w:val="0"/>
          <w:marRight w:val="0"/>
          <w:marTop w:val="0"/>
          <w:marBottom w:val="0"/>
          <w:divBdr>
            <w:top w:val="none" w:sz="0" w:space="0" w:color="auto"/>
            <w:left w:val="none" w:sz="0" w:space="0" w:color="auto"/>
            <w:bottom w:val="none" w:sz="0" w:space="0" w:color="auto"/>
            <w:right w:val="none" w:sz="0" w:space="0" w:color="auto"/>
          </w:divBdr>
          <w:divsChild>
            <w:div w:id="1449668018">
              <w:marLeft w:val="0"/>
              <w:marRight w:val="0"/>
              <w:marTop w:val="0"/>
              <w:marBottom w:val="0"/>
              <w:divBdr>
                <w:top w:val="none" w:sz="0" w:space="0" w:color="auto"/>
                <w:left w:val="none" w:sz="0" w:space="0" w:color="auto"/>
                <w:bottom w:val="none" w:sz="0" w:space="0" w:color="auto"/>
                <w:right w:val="none" w:sz="0" w:space="0" w:color="auto"/>
              </w:divBdr>
              <w:divsChild>
                <w:div w:id="1535390572">
                  <w:marLeft w:val="0"/>
                  <w:marRight w:val="0"/>
                  <w:marTop w:val="0"/>
                  <w:marBottom w:val="0"/>
                  <w:divBdr>
                    <w:top w:val="none" w:sz="0" w:space="0" w:color="auto"/>
                    <w:left w:val="none" w:sz="0" w:space="0" w:color="auto"/>
                    <w:bottom w:val="none" w:sz="0" w:space="0" w:color="auto"/>
                    <w:right w:val="none" w:sz="0" w:space="0" w:color="auto"/>
                  </w:divBdr>
                  <w:divsChild>
                    <w:div w:id="10000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872844">
      <w:bodyDiv w:val="1"/>
      <w:marLeft w:val="0"/>
      <w:marRight w:val="0"/>
      <w:marTop w:val="0"/>
      <w:marBottom w:val="0"/>
      <w:divBdr>
        <w:top w:val="none" w:sz="0" w:space="0" w:color="auto"/>
        <w:left w:val="none" w:sz="0" w:space="0" w:color="auto"/>
        <w:bottom w:val="none" w:sz="0" w:space="0" w:color="auto"/>
        <w:right w:val="none" w:sz="0" w:space="0" w:color="auto"/>
      </w:divBdr>
      <w:divsChild>
        <w:div w:id="274212981">
          <w:marLeft w:val="0"/>
          <w:marRight w:val="0"/>
          <w:marTop w:val="0"/>
          <w:marBottom w:val="0"/>
          <w:divBdr>
            <w:top w:val="none" w:sz="0" w:space="0" w:color="auto"/>
            <w:left w:val="none" w:sz="0" w:space="0" w:color="auto"/>
            <w:bottom w:val="none" w:sz="0" w:space="0" w:color="auto"/>
            <w:right w:val="none" w:sz="0" w:space="0" w:color="auto"/>
          </w:divBdr>
          <w:divsChild>
            <w:div w:id="1938563341">
              <w:marLeft w:val="0"/>
              <w:marRight w:val="0"/>
              <w:marTop w:val="0"/>
              <w:marBottom w:val="0"/>
              <w:divBdr>
                <w:top w:val="none" w:sz="0" w:space="0" w:color="auto"/>
                <w:left w:val="none" w:sz="0" w:space="0" w:color="auto"/>
                <w:bottom w:val="none" w:sz="0" w:space="0" w:color="auto"/>
                <w:right w:val="none" w:sz="0" w:space="0" w:color="auto"/>
              </w:divBdr>
              <w:divsChild>
                <w:div w:id="14163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74770">
      <w:bodyDiv w:val="1"/>
      <w:marLeft w:val="0"/>
      <w:marRight w:val="0"/>
      <w:marTop w:val="0"/>
      <w:marBottom w:val="0"/>
      <w:divBdr>
        <w:top w:val="none" w:sz="0" w:space="0" w:color="auto"/>
        <w:left w:val="none" w:sz="0" w:space="0" w:color="auto"/>
        <w:bottom w:val="none" w:sz="0" w:space="0" w:color="auto"/>
        <w:right w:val="none" w:sz="0" w:space="0" w:color="auto"/>
      </w:divBdr>
      <w:divsChild>
        <w:div w:id="430784547">
          <w:marLeft w:val="0"/>
          <w:marRight w:val="0"/>
          <w:marTop w:val="0"/>
          <w:marBottom w:val="0"/>
          <w:divBdr>
            <w:top w:val="none" w:sz="0" w:space="0" w:color="auto"/>
            <w:left w:val="none" w:sz="0" w:space="0" w:color="auto"/>
            <w:bottom w:val="none" w:sz="0" w:space="0" w:color="auto"/>
            <w:right w:val="none" w:sz="0" w:space="0" w:color="auto"/>
          </w:divBdr>
          <w:divsChild>
            <w:div w:id="1642803100">
              <w:marLeft w:val="0"/>
              <w:marRight w:val="0"/>
              <w:marTop w:val="0"/>
              <w:marBottom w:val="0"/>
              <w:divBdr>
                <w:top w:val="none" w:sz="0" w:space="0" w:color="auto"/>
                <w:left w:val="none" w:sz="0" w:space="0" w:color="auto"/>
                <w:bottom w:val="none" w:sz="0" w:space="0" w:color="auto"/>
                <w:right w:val="none" w:sz="0" w:space="0" w:color="auto"/>
              </w:divBdr>
              <w:divsChild>
                <w:div w:id="151653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84281">
      <w:bodyDiv w:val="1"/>
      <w:marLeft w:val="0"/>
      <w:marRight w:val="0"/>
      <w:marTop w:val="0"/>
      <w:marBottom w:val="0"/>
      <w:divBdr>
        <w:top w:val="none" w:sz="0" w:space="0" w:color="auto"/>
        <w:left w:val="none" w:sz="0" w:space="0" w:color="auto"/>
        <w:bottom w:val="none" w:sz="0" w:space="0" w:color="auto"/>
        <w:right w:val="none" w:sz="0" w:space="0" w:color="auto"/>
      </w:divBdr>
      <w:divsChild>
        <w:div w:id="997417041">
          <w:marLeft w:val="0"/>
          <w:marRight w:val="0"/>
          <w:marTop w:val="0"/>
          <w:marBottom w:val="0"/>
          <w:divBdr>
            <w:top w:val="none" w:sz="0" w:space="0" w:color="auto"/>
            <w:left w:val="none" w:sz="0" w:space="0" w:color="auto"/>
            <w:bottom w:val="none" w:sz="0" w:space="0" w:color="auto"/>
            <w:right w:val="none" w:sz="0" w:space="0" w:color="auto"/>
          </w:divBdr>
          <w:divsChild>
            <w:div w:id="55443814">
              <w:marLeft w:val="0"/>
              <w:marRight w:val="0"/>
              <w:marTop w:val="0"/>
              <w:marBottom w:val="0"/>
              <w:divBdr>
                <w:top w:val="none" w:sz="0" w:space="0" w:color="auto"/>
                <w:left w:val="none" w:sz="0" w:space="0" w:color="auto"/>
                <w:bottom w:val="none" w:sz="0" w:space="0" w:color="auto"/>
                <w:right w:val="none" w:sz="0" w:space="0" w:color="auto"/>
              </w:divBdr>
              <w:divsChild>
                <w:div w:id="12008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10481">
      <w:bodyDiv w:val="1"/>
      <w:marLeft w:val="0"/>
      <w:marRight w:val="0"/>
      <w:marTop w:val="0"/>
      <w:marBottom w:val="0"/>
      <w:divBdr>
        <w:top w:val="none" w:sz="0" w:space="0" w:color="auto"/>
        <w:left w:val="none" w:sz="0" w:space="0" w:color="auto"/>
        <w:bottom w:val="none" w:sz="0" w:space="0" w:color="auto"/>
        <w:right w:val="none" w:sz="0" w:space="0" w:color="auto"/>
      </w:divBdr>
      <w:divsChild>
        <w:div w:id="1568223086">
          <w:marLeft w:val="0"/>
          <w:marRight w:val="0"/>
          <w:marTop w:val="0"/>
          <w:marBottom w:val="0"/>
          <w:divBdr>
            <w:top w:val="none" w:sz="0" w:space="0" w:color="auto"/>
            <w:left w:val="none" w:sz="0" w:space="0" w:color="auto"/>
            <w:bottom w:val="none" w:sz="0" w:space="0" w:color="auto"/>
            <w:right w:val="none" w:sz="0" w:space="0" w:color="auto"/>
          </w:divBdr>
          <w:divsChild>
            <w:div w:id="1973123490">
              <w:marLeft w:val="0"/>
              <w:marRight w:val="0"/>
              <w:marTop w:val="0"/>
              <w:marBottom w:val="0"/>
              <w:divBdr>
                <w:top w:val="none" w:sz="0" w:space="0" w:color="auto"/>
                <w:left w:val="none" w:sz="0" w:space="0" w:color="auto"/>
                <w:bottom w:val="none" w:sz="0" w:space="0" w:color="auto"/>
                <w:right w:val="none" w:sz="0" w:space="0" w:color="auto"/>
              </w:divBdr>
              <w:divsChild>
                <w:div w:id="12254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61589">
      <w:bodyDiv w:val="1"/>
      <w:marLeft w:val="0"/>
      <w:marRight w:val="0"/>
      <w:marTop w:val="0"/>
      <w:marBottom w:val="0"/>
      <w:divBdr>
        <w:top w:val="none" w:sz="0" w:space="0" w:color="auto"/>
        <w:left w:val="none" w:sz="0" w:space="0" w:color="auto"/>
        <w:bottom w:val="none" w:sz="0" w:space="0" w:color="auto"/>
        <w:right w:val="none" w:sz="0" w:space="0" w:color="auto"/>
      </w:divBdr>
      <w:divsChild>
        <w:div w:id="173807124">
          <w:marLeft w:val="0"/>
          <w:marRight w:val="0"/>
          <w:marTop w:val="0"/>
          <w:marBottom w:val="0"/>
          <w:divBdr>
            <w:top w:val="none" w:sz="0" w:space="0" w:color="auto"/>
            <w:left w:val="none" w:sz="0" w:space="0" w:color="auto"/>
            <w:bottom w:val="none" w:sz="0" w:space="0" w:color="auto"/>
            <w:right w:val="none" w:sz="0" w:space="0" w:color="auto"/>
          </w:divBdr>
          <w:divsChild>
            <w:div w:id="1011689532">
              <w:marLeft w:val="0"/>
              <w:marRight w:val="0"/>
              <w:marTop w:val="0"/>
              <w:marBottom w:val="0"/>
              <w:divBdr>
                <w:top w:val="none" w:sz="0" w:space="0" w:color="auto"/>
                <w:left w:val="none" w:sz="0" w:space="0" w:color="auto"/>
                <w:bottom w:val="none" w:sz="0" w:space="0" w:color="auto"/>
                <w:right w:val="none" w:sz="0" w:space="0" w:color="auto"/>
              </w:divBdr>
              <w:divsChild>
                <w:div w:id="17316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0261">
      <w:bodyDiv w:val="1"/>
      <w:marLeft w:val="0"/>
      <w:marRight w:val="0"/>
      <w:marTop w:val="0"/>
      <w:marBottom w:val="0"/>
      <w:divBdr>
        <w:top w:val="none" w:sz="0" w:space="0" w:color="auto"/>
        <w:left w:val="none" w:sz="0" w:space="0" w:color="auto"/>
        <w:bottom w:val="none" w:sz="0" w:space="0" w:color="auto"/>
        <w:right w:val="none" w:sz="0" w:space="0" w:color="auto"/>
      </w:divBdr>
      <w:divsChild>
        <w:div w:id="518739246">
          <w:marLeft w:val="0"/>
          <w:marRight w:val="0"/>
          <w:marTop w:val="0"/>
          <w:marBottom w:val="0"/>
          <w:divBdr>
            <w:top w:val="none" w:sz="0" w:space="0" w:color="auto"/>
            <w:left w:val="none" w:sz="0" w:space="0" w:color="auto"/>
            <w:bottom w:val="none" w:sz="0" w:space="0" w:color="auto"/>
            <w:right w:val="none" w:sz="0" w:space="0" w:color="auto"/>
          </w:divBdr>
          <w:divsChild>
            <w:div w:id="282082012">
              <w:marLeft w:val="0"/>
              <w:marRight w:val="0"/>
              <w:marTop w:val="0"/>
              <w:marBottom w:val="0"/>
              <w:divBdr>
                <w:top w:val="none" w:sz="0" w:space="0" w:color="auto"/>
                <w:left w:val="none" w:sz="0" w:space="0" w:color="auto"/>
                <w:bottom w:val="none" w:sz="0" w:space="0" w:color="auto"/>
                <w:right w:val="none" w:sz="0" w:space="0" w:color="auto"/>
              </w:divBdr>
              <w:divsChild>
                <w:div w:id="59586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23734">
          <w:marLeft w:val="0"/>
          <w:marRight w:val="0"/>
          <w:marTop w:val="0"/>
          <w:marBottom w:val="0"/>
          <w:divBdr>
            <w:top w:val="none" w:sz="0" w:space="0" w:color="auto"/>
            <w:left w:val="none" w:sz="0" w:space="0" w:color="auto"/>
            <w:bottom w:val="none" w:sz="0" w:space="0" w:color="auto"/>
            <w:right w:val="none" w:sz="0" w:space="0" w:color="auto"/>
          </w:divBdr>
          <w:divsChild>
            <w:div w:id="199706955">
              <w:marLeft w:val="0"/>
              <w:marRight w:val="0"/>
              <w:marTop w:val="0"/>
              <w:marBottom w:val="0"/>
              <w:divBdr>
                <w:top w:val="none" w:sz="0" w:space="0" w:color="auto"/>
                <w:left w:val="none" w:sz="0" w:space="0" w:color="auto"/>
                <w:bottom w:val="none" w:sz="0" w:space="0" w:color="auto"/>
                <w:right w:val="none" w:sz="0" w:space="0" w:color="auto"/>
              </w:divBdr>
              <w:divsChild>
                <w:div w:id="1695233498">
                  <w:marLeft w:val="0"/>
                  <w:marRight w:val="0"/>
                  <w:marTop w:val="0"/>
                  <w:marBottom w:val="0"/>
                  <w:divBdr>
                    <w:top w:val="none" w:sz="0" w:space="0" w:color="auto"/>
                    <w:left w:val="none" w:sz="0" w:space="0" w:color="auto"/>
                    <w:bottom w:val="none" w:sz="0" w:space="0" w:color="auto"/>
                    <w:right w:val="none" w:sz="0" w:space="0" w:color="auto"/>
                  </w:divBdr>
                </w:div>
              </w:divsChild>
            </w:div>
            <w:div w:id="721904352">
              <w:marLeft w:val="0"/>
              <w:marRight w:val="0"/>
              <w:marTop w:val="0"/>
              <w:marBottom w:val="0"/>
              <w:divBdr>
                <w:top w:val="none" w:sz="0" w:space="0" w:color="auto"/>
                <w:left w:val="none" w:sz="0" w:space="0" w:color="auto"/>
                <w:bottom w:val="none" w:sz="0" w:space="0" w:color="auto"/>
                <w:right w:val="none" w:sz="0" w:space="0" w:color="auto"/>
              </w:divBdr>
              <w:divsChild>
                <w:div w:id="185284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206673">
      <w:bodyDiv w:val="1"/>
      <w:marLeft w:val="0"/>
      <w:marRight w:val="0"/>
      <w:marTop w:val="0"/>
      <w:marBottom w:val="0"/>
      <w:divBdr>
        <w:top w:val="none" w:sz="0" w:space="0" w:color="auto"/>
        <w:left w:val="none" w:sz="0" w:space="0" w:color="auto"/>
        <w:bottom w:val="none" w:sz="0" w:space="0" w:color="auto"/>
        <w:right w:val="none" w:sz="0" w:space="0" w:color="auto"/>
      </w:divBdr>
      <w:divsChild>
        <w:div w:id="520779682">
          <w:marLeft w:val="0"/>
          <w:marRight w:val="0"/>
          <w:marTop w:val="0"/>
          <w:marBottom w:val="0"/>
          <w:divBdr>
            <w:top w:val="none" w:sz="0" w:space="0" w:color="auto"/>
            <w:left w:val="none" w:sz="0" w:space="0" w:color="auto"/>
            <w:bottom w:val="none" w:sz="0" w:space="0" w:color="auto"/>
            <w:right w:val="none" w:sz="0" w:space="0" w:color="auto"/>
          </w:divBdr>
          <w:divsChild>
            <w:div w:id="1864593817">
              <w:marLeft w:val="0"/>
              <w:marRight w:val="0"/>
              <w:marTop w:val="0"/>
              <w:marBottom w:val="0"/>
              <w:divBdr>
                <w:top w:val="none" w:sz="0" w:space="0" w:color="auto"/>
                <w:left w:val="none" w:sz="0" w:space="0" w:color="auto"/>
                <w:bottom w:val="none" w:sz="0" w:space="0" w:color="auto"/>
                <w:right w:val="none" w:sz="0" w:space="0" w:color="auto"/>
              </w:divBdr>
              <w:divsChild>
                <w:div w:id="14875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529720">
      <w:bodyDiv w:val="1"/>
      <w:marLeft w:val="0"/>
      <w:marRight w:val="0"/>
      <w:marTop w:val="0"/>
      <w:marBottom w:val="0"/>
      <w:divBdr>
        <w:top w:val="none" w:sz="0" w:space="0" w:color="auto"/>
        <w:left w:val="none" w:sz="0" w:space="0" w:color="auto"/>
        <w:bottom w:val="none" w:sz="0" w:space="0" w:color="auto"/>
        <w:right w:val="none" w:sz="0" w:space="0" w:color="auto"/>
      </w:divBdr>
      <w:divsChild>
        <w:div w:id="1686594754">
          <w:marLeft w:val="0"/>
          <w:marRight w:val="0"/>
          <w:marTop w:val="0"/>
          <w:marBottom w:val="0"/>
          <w:divBdr>
            <w:top w:val="none" w:sz="0" w:space="0" w:color="auto"/>
            <w:left w:val="none" w:sz="0" w:space="0" w:color="auto"/>
            <w:bottom w:val="none" w:sz="0" w:space="0" w:color="auto"/>
            <w:right w:val="none" w:sz="0" w:space="0" w:color="auto"/>
          </w:divBdr>
          <w:divsChild>
            <w:div w:id="1422028647">
              <w:marLeft w:val="0"/>
              <w:marRight w:val="0"/>
              <w:marTop w:val="0"/>
              <w:marBottom w:val="0"/>
              <w:divBdr>
                <w:top w:val="none" w:sz="0" w:space="0" w:color="auto"/>
                <w:left w:val="none" w:sz="0" w:space="0" w:color="auto"/>
                <w:bottom w:val="none" w:sz="0" w:space="0" w:color="auto"/>
                <w:right w:val="none" w:sz="0" w:space="0" w:color="auto"/>
              </w:divBdr>
              <w:divsChild>
                <w:div w:id="8533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66548">
      <w:bodyDiv w:val="1"/>
      <w:marLeft w:val="0"/>
      <w:marRight w:val="0"/>
      <w:marTop w:val="0"/>
      <w:marBottom w:val="0"/>
      <w:divBdr>
        <w:top w:val="none" w:sz="0" w:space="0" w:color="auto"/>
        <w:left w:val="none" w:sz="0" w:space="0" w:color="auto"/>
        <w:bottom w:val="none" w:sz="0" w:space="0" w:color="auto"/>
        <w:right w:val="none" w:sz="0" w:space="0" w:color="auto"/>
      </w:divBdr>
      <w:divsChild>
        <w:div w:id="1929607437">
          <w:marLeft w:val="0"/>
          <w:marRight w:val="0"/>
          <w:marTop w:val="0"/>
          <w:marBottom w:val="0"/>
          <w:divBdr>
            <w:top w:val="none" w:sz="0" w:space="0" w:color="auto"/>
            <w:left w:val="none" w:sz="0" w:space="0" w:color="auto"/>
            <w:bottom w:val="none" w:sz="0" w:space="0" w:color="auto"/>
            <w:right w:val="none" w:sz="0" w:space="0" w:color="auto"/>
          </w:divBdr>
          <w:divsChild>
            <w:div w:id="423038670">
              <w:marLeft w:val="0"/>
              <w:marRight w:val="0"/>
              <w:marTop w:val="0"/>
              <w:marBottom w:val="0"/>
              <w:divBdr>
                <w:top w:val="none" w:sz="0" w:space="0" w:color="auto"/>
                <w:left w:val="none" w:sz="0" w:space="0" w:color="auto"/>
                <w:bottom w:val="none" w:sz="0" w:space="0" w:color="auto"/>
                <w:right w:val="none" w:sz="0" w:space="0" w:color="auto"/>
              </w:divBdr>
              <w:divsChild>
                <w:div w:id="516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30232">
      <w:bodyDiv w:val="1"/>
      <w:marLeft w:val="0"/>
      <w:marRight w:val="0"/>
      <w:marTop w:val="0"/>
      <w:marBottom w:val="0"/>
      <w:divBdr>
        <w:top w:val="none" w:sz="0" w:space="0" w:color="auto"/>
        <w:left w:val="none" w:sz="0" w:space="0" w:color="auto"/>
        <w:bottom w:val="none" w:sz="0" w:space="0" w:color="auto"/>
        <w:right w:val="none" w:sz="0" w:space="0" w:color="auto"/>
      </w:divBdr>
      <w:divsChild>
        <w:div w:id="230048356">
          <w:marLeft w:val="0"/>
          <w:marRight w:val="0"/>
          <w:marTop w:val="0"/>
          <w:marBottom w:val="0"/>
          <w:divBdr>
            <w:top w:val="none" w:sz="0" w:space="0" w:color="auto"/>
            <w:left w:val="none" w:sz="0" w:space="0" w:color="auto"/>
            <w:bottom w:val="none" w:sz="0" w:space="0" w:color="auto"/>
            <w:right w:val="none" w:sz="0" w:space="0" w:color="auto"/>
          </w:divBdr>
          <w:divsChild>
            <w:div w:id="2132822755">
              <w:marLeft w:val="0"/>
              <w:marRight w:val="0"/>
              <w:marTop w:val="0"/>
              <w:marBottom w:val="0"/>
              <w:divBdr>
                <w:top w:val="none" w:sz="0" w:space="0" w:color="auto"/>
                <w:left w:val="none" w:sz="0" w:space="0" w:color="auto"/>
                <w:bottom w:val="none" w:sz="0" w:space="0" w:color="auto"/>
                <w:right w:val="none" w:sz="0" w:space="0" w:color="auto"/>
              </w:divBdr>
              <w:divsChild>
                <w:div w:id="7352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2544">
      <w:bodyDiv w:val="1"/>
      <w:marLeft w:val="0"/>
      <w:marRight w:val="0"/>
      <w:marTop w:val="0"/>
      <w:marBottom w:val="0"/>
      <w:divBdr>
        <w:top w:val="none" w:sz="0" w:space="0" w:color="auto"/>
        <w:left w:val="none" w:sz="0" w:space="0" w:color="auto"/>
        <w:bottom w:val="none" w:sz="0" w:space="0" w:color="auto"/>
        <w:right w:val="none" w:sz="0" w:space="0" w:color="auto"/>
      </w:divBdr>
      <w:divsChild>
        <w:div w:id="1767336815">
          <w:marLeft w:val="0"/>
          <w:marRight w:val="0"/>
          <w:marTop w:val="0"/>
          <w:marBottom w:val="0"/>
          <w:divBdr>
            <w:top w:val="none" w:sz="0" w:space="0" w:color="auto"/>
            <w:left w:val="none" w:sz="0" w:space="0" w:color="auto"/>
            <w:bottom w:val="none" w:sz="0" w:space="0" w:color="auto"/>
            <w:right w:val="none" w:sz="0" w:space="0" w:color="auto"/>
          </w:divBdr>
          <w:divsChild>
            <w:div w:id="768476486">
              <w:marLeft w:val="0"/>
              <w:marRight w:val="0"/>
              <w:marTop w:val="0"/>
              <w:marBottom w:val="0"/>
              <w:divBdr>
                <w:top w:val="none" w:sz="0" w:space="0" w:color="auto"/>
                <w:left w:val="none" w:sz="0" w:space="0" w:color="auto"/>
                <w:bottom w:val="none" w:sz="0" w:space="0" w:color="auto"/>
                <w:right w:val="none" w:sz="0" w:space="0" w:color="auto"/>
              </w:divBdr>
              <w:divsChild>
                <w:div w:id="85492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03477">
      <w:bodyDiv w:val="1"/>
      <w:marLeft w:val="0"/>
      <w:marRight w:val="0"/>
      <w:marTop w:val="0"/>
      <w:marBottom w:val="0"/>
      <w:divBdr>
        <w:top w:val="none" w:sz="0" w:space="0" w:color="auto"/>
        <w:left w:val="none" w:sz="0" w:space="0" w:color="auto"/>
        <w:bottom w:val="none" w:sz="0" w:space="0" w:color="auto"/>
        <w:right w:val="none" w:sz="0" w:space="0" w:color="auto"/>
      </w:divBdr>
      <w:divsChild>
        <w:div w:id="413090288">
          <w:marLeft w:val="0"/>
          <w:marRight w:val="0"/>
          <w:marTop w:val="0"/>
          <w:marBottom w:val="0"/>
          <w:divBdr>
            <w:top w:val="none" w:sz="0" w:space="0" w:color="auto"/>
            <w:left w:val="none" w:sz="0" w:space="0" w:color="auto"/>
            <w:bottom w:val="none" w:sz="0" w:space="0" w:color="auto"/>
            <w:right w:val="none" w:sz="0" w:space="0" w:color="auto"/>
          </w:divBdr>
          <w:divsChild>
            <w:div w:id="990401979">
              <w:marLeft w:val="0"/>
              <w:marRight w:val="0"/>
              <w:marTop w:val="0"/>
              <w:marBottom w:val="0"/>
              <w:divBdr>
                <w:top w:val="none" w:sz="0" w:space="0" w:color="auto"/>
                <w:left w:val="none" w:sz="0" w:space="0" w:color="auto"/>
                <w:bottom w:val="none" w:sz="0" w:space="0" w:color="auto"/>
                <w:right w:val="none" w:sz="0" w:space="0" w:color="auto"/>
              </w:divBdr>
              <w:divsChild>
                <w:div w:id="3866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88888">
      <w:bodyDiv w:val="1"/>
      <w:marLeft w:val="0"/>
      <w:marRight w:val="0"/>
      <w:marTop w:val="0"/>
      <w:marBottom w:val="0"/>
      <w:divBdr>
        <w:top w:val="none" w:sz="0" w:space="0" w:color="auto"/>
        <w:left w:val="none" w:sz="0" w:space="0" w:color="auto"/>
        <w:bottom w:val="none" w:sz="0" w:space="0" w:color="auto"/>
        <w:right w:val="none" w:sz="0" w:space="0" w:color="auto"/>
      </w:divBdr>
      <w:divsChild>
        <w:div w:id="718868348">
          <w:marLeft w:val="0"/>
          <w:marRight w:val="0"/>
          <w:marTop w:val="0"/>
          <w:marBottom w:val="0"/>
          <w:divBdr>
            <w:top w:val="none" w:sz="0" w:space="0" w:color="auto"/>
            <w:left w:val="none" w:sz="0" w:space="0" w:color="auto"/>
            <w:bottom w:val="none" w:sz="0" w:space="0" w:color="auto"/>
            <w:right w:val="none" w:sz="0" w:space="0" w:color="auto"/>
          </w:divBdr>
          <w:divsChild>
            <w:div w:id="1057706044">
              <w:marLeft w:val="0"/>
              <w:marRight w:val="0"/>
              <w:marTop w:val="0"/>
              <w:marBottom w:val="0"/>
              <w:divBdr>
                <w:top w:val="none" w:sz="0" w:space="0" w:color="auto"/>
                <w:left w:val="none" w:sz="0" w:space="0" w:color="auto"/>
                <w:bottom w:val="none" w:sz="0" w:space="0" w:color="auto"/>
                <w:right w:val="none" w:sz="0" w:space="0" w:color="auto"/>
              </w:divBdr>
              <w:divsChild>
                <w:div w:id="212619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5886">
      <w:bodyDiv w:val="1"/>
      <w:marLeft w:val="0"/>
      <w:marRight w:val="0"/>
      <w:marTop w:val="0"/>
      <w:marBottom w:val="0"/>
      <w:divBdr>
        <w:top w:val="none" w:sz="0" w:space="0" w:color="auto"/>
        <w:left w:val="none" w:sz="0" w:space="0" w:color="auto"/>
        <w:bottom w:val="none" w:sz="0" w:space="0" w:color="auto"/>
        <w:right w:val="none" w:sz="0" w:space="0" w:color="auto"/>
      </w:divBdr>
      <w:divsChild>
        <w:div w:id="1056507969">
          <w:marLeft w:val="0"/>
          <w:marRight w:val="0"/>
          <w:marTop w:val="0"/>
          <w:marBottom w:val="0"/>
          <w:divBdr>
            <w:top w:val="none" w:sz="0" w:space="0" w:color="auto"/>
            <w:left w:val="none" w:sz="0" w:space="0" w:color="auto"/>
            <w:bottom w:val="none" w:sz="0" w:space="0" w:color="auto"/>
            <w:right w:val="none" w:sz="0" w:space="0" w:color="auto"/>
          </w:divBdr>
          <w:divsChild>
            <w:div w:id="118769037">
              <w:marLeft w:val="0"/>
              <w:marRight w:val="0"/>
              <w:marTop w:val="0"/>
              <w:marBottom w:val="0"/>
              <w:divBdr>
                <w:top w:val="none" w:sz="0" w:space="0" w:color="auto"/>
                <w:left w:val="none" w:sz="0" w:space="0" w:color="auto"/>
                <w:bottom w:val="none" w:sz="0" w:space="0" w:color="auto"/>
                <w:right w:val="none" w:sz="0" w:space="0" w:color="auto"/>
              </w:divBdr>
              <w:divsChild>
                <w:div w:id="3446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22396">
      <w:bodyDiv w:val="1"/>
      <w:marLeft w:val="0"/>
      <w:marRight w:val="0"/>
      <w:marTop w:val="0"/>
      <w:marBottom w:val="0"/>
      <w:divBdr>
        <w:top w:val="none" w:sz="0" w:space="0" w:color="auto"/>
        <w:left w:val="none" w:sz="0" w:space="0" w:color="auto"/>
        <w:bottom w:val="none" w:sz="0" w:space="0" w:color="auto"/>
        <w:right w:val="none" w:sz="0" w:space="0" w:color="auto"/>
      </w:divBdr>
      <w:divsChild>
        <w:div w:id="191648027">
          <w:marLeft w:val="0"/>
          <w:marRight w:val="0"/>
          <w:marTop w:val="0"/>
          <w:marBottom w:val="0"/>
          <w:divBdr>
            <w:top w:val="none" w:sz="0" w:space="0" w:color="auto"/>
            <w:left w:val="none" w:sz="0" w:space="0" w:color="auto"/>
            <w:bottom w:val="none" w:sz="0" w:space="0" w:color="auto"/>
            <w:right w:val="none" w:sz="0" w:space="0" w:color="auto"/>
          </w:divBdr>
          <w:divsChild>
            <w:div w:id="1438450705">
              <w:marLeft w:val="0"/>
              <w:marRight w:val="0"/>
              <w:marTop w:val="0"/>
              <w:marBottom w:val="0"/>
              <w:divBdr>
                <w:top w:val="none" w:sz="0" w:space="0" w:color="auto"/>
                <w:left w:val="none" w:sz="0" w:space="0" w:color="auto"/>
                <w:bottom w:val="none" w:sz="0" w:space="0" w:color="auto"/>
                <w:right w:val="none" w:sz="0" w:space="0" w:color="auto"/>
              </w:divBdr>
              <w:divsChild>
                <w:div w:id="62785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19796">
      <w:bodyDiv w:val="1"/>
      <w:marLeft w:val="0"/>
      <w:marRight w:val="0"/>
      <w:marTop w:val="0"/>
      <w:marBottom w:val="0"/>
      <w:divBdr>
        <w:top w:val="none" w:sz="0" w:space="0" w:color="auto"/>
        <w:left w:val="none" w:sz="0" w:space="0" w:color="auto"/>
        <w:bottom w:val="none" w:sz="0" w:space="0" w:color="auto"/>
        <w:right w:val="none" w:sz="0" w:space="0" w:color="auto"/>
      </w:divBdr>
      <w:divsChild>
        <w:div w:id="508641048">
          <w:marLeft w:val="0"/>
          <w:marRight w:val="0"/>
          <w:marTop w:val="0"/>
          <w:marBottom w:val="0"/>
          <w:divBdr>
            <w:top w:val="none" w:sz="0" w:space="0" w:color="auto"/>
            <w:left w:val="none" w:sz="0" w:space="0" w:color="auto"/>
            <w:bottom w:val="none" w:sz="0" w:space="0" w:color="auto"/>
            <w:right w:val="none" w:sz="0" w:space="0" w:color="auto"/>
          </w:divBdr>
          <w:divsChild>
            <w:div w:id="237326813">
              <w:marLeft w:val="0"/>
              <w:marRight w:val="0"/>
              <w:marTop w:val="0"/>
              <w:marBottom w:val="0"/>
              <w:divBdr>
                <w:top w:val="none" w:sz="0" w:space="0" w:color="auto"/>
                <w:left w:val="none" w:sz="0" w:space="0" w:color="auto"/>
                <w:bottom w:val="none" w:sz="0" w:space="0" w:color="auto"/>
                <w:right w:val="none" w:sz="0" w:space="0" w:color="auto"/>
              </w:divBdr>
              <w:divsChild>
                <w:div w:id="462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771938">
      <w:bodyDiv w:val="1"/>
      <w:marLeft w:val="0"/>
      <w:marRight w:val="0"/>
      <w:marTop w:val="0"/>
      <w:marBottom w:val="0"/>
      <w:divBdr>
        <w:top w:val="none" w:sz="0" w:space="0" w:color="auto"/>
        <w:left w:val="none" w:sz="0" w:space="0" w:color="auto"/>
        <w:bottom w:val="none" w:sz="0" w:space="0" w:color="auto"/>
        <w:right w:val="none" w:sz="0" w:space="0" w:color="auto"/>
      </w:divBdr>
      <w:divsChild>
        <w:div w:id="22561194">
          <w:marLeft w:val="0"/>
          <w:marRight w:val="0"/>
          <w:marTop w:val="0"/>
          <w:marBottom w:val="0"/>
          <w:divBdr>
            <w:top w:val="none" w:sz="0" w:space="0" w:color="auto"/>
            <w:left w:val="none" w:sz="0" w:space="0" w:color="auto"/>
            <w:bottom w:val="none" w:sz="0" w:space="0" w:color="auto"/>
            <w:right w:val="none" w:sz="0" w:space="0" w:color="auto"/>
          </w:divBdr>
          <w:divsChild>
            <w:div w:id="1851941875">
              <w:marLeft w:val="0"/>
              <w:marRight w:val="0"/>
              <w:marTop w:val="0"/>
              <w:marBottom w:val="0"/>
              <w:divBdr>
                <w:top w:val="none" w:sz="0" w:space="0" w:color="auto"/>
                <w:left w:val="none" w:sz="0" w:space="0" w:color="auto"/>
                <w:bottom w:val="none" w:sz="0" w:space="0" w:color="auto"/>
                <w:right w:val="none" w:sz="0" w:space="0" w:color="auto"/>
              </w:divBdr>
              <w:divsChild>
                <w:div w:id="1238394313">
                  <w:marLeft w:val="0"/>
                  <w:marRight w:val="0"/>
                  <w:marTop w:val="0"/>
                  <w:marBottom w:val="0"/>
                  <w:divBdr>
                    <w:top w:val="none" w:sz="0" w:space="0" w:color="auto"/>
                    <w:left w:val="none" w:sz="0" w:space="0" w:color="auto"/>
                    <w:bottom w:val="none" w:sz="0" w:space="0" w:color="auto"/>
                    <w:right w:val="none" w:sz="0" w:space="0" w:color="auto"/>
                  </w:divBdr>
                  <w:divsChild>
                    <w:div w:id="71886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08180">
      <w:bodyDiv w:val="1"/>
      <w:marLeft w:val="0"/>
      <w:marRight w:val="0"/>
      <w:marTop w:val="0"/>
      <w:marBottom w:val="0"/>
      <w:divBdr>
        <w:top w:val="none" w:sz="0" w:space="0" w:color="auto"/>
        <w:left w:val="none" w:sz="0" w:space="0" w:color="auto"/>
        <w:bottom w:val="none" w:sz="0" w:space="0" w:color="auto"/>
        <w:right w:val="none" w:sz="0" w:space="0" w:color="auto"/>
      </w:divBdr>
      <w:divsChild>
        <w:div w:id="1937712275">
          <w:marLeft w:val="0"/>
          <w:marRight w:val="0"/>
          <w:marTop w:val="0"/>
          <w:marBottom w:val="0"/>
          <w:divBdr>
            <w:top w:val="none" w:sz="0" w:space="0" w:color="auto"/>
            <w:left w:val="none" w:sz="0" w:space="0" w:color="auto"/>
            <w:bottom w:val="none" w:sz="0" w:space="0" w:color="auto"/>
            <w:right w:val="none" w:sz="0" w:space="0" w:color="auto"/>
          </w:divBdr>
          <w:divsChild>
            <w:div w:id="1896814186">
              <w:marLeft w:val="0"/>
              <w:marRight w:val="0"/>
              <w:marTop w:val="0"/>
              <w:marBottom w:val="0"/>
              <w:divBdr>
                <w:top w:val="none" w:sz="0" w:space="0" w:color="auto"/>
                <w:left w:val="none" w:sz="0" w:space="0" w:color="auto"/>
                <w:bottom w:val="none" w:sz="0" w:space="0" w:color="auto"/>
                <w:right w:val="none" w:sz="0" w:space="0" w:color="auto"/>
              </w:divBdr>
              <w:divsChild>
                <w:div w:id="1171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475746">
      <w:bodyDiv w:val="1"/>
      <w:marLeft w:val="0"/>
      <w:marRight w:val="0"/>
      <w:marTop w:val="0"/>
      <w:marBottom w:val="0"/>
      <w:divBdr>
        <w:top w:val="none" w:sz="0" w:space="0" w:color="auto"/>
        <w:left w:val="none" w:sz="0" w:space="0" w:color="auto"/>
        <w:bottom w:val="none" w:sz="0" w:space="0" w:color="auto"/>
        <w:right w:val="none" w:sz="0" w:space="0" w:color="auto"/>
      </w:divBdr>
      <w:divsChild>
        <w:div w:id="783236034">
          <w:marLeft w:val="0"/>
          <w:marRight w:val="0"/>
          <w:marTop w:val="0"/>
          <w:marBottom w:val="0"/>
          <w:divBdr>
            <w:top w:val="none" w:sz="0" w:space="0" w:color="auto"/>
            <w:left w:val="none" w:sz="0" w:space="0" w:color="auto"/>
            <w:bottom w:val="none" w:sz="0" w:space="0" w:color="auto"/>
            <w:right w:val="none" w:sz="0" w:space="0" w:color="auto"/>
          </w:divBdr>
          <w:divsChild>
            <w:div w:id="943465686">
              <w:marLeft w:val="0"/>
              <w:marRight w:val="0"/>
              <w:marTop w:val="0"/>
              <w:marBottom w:val="0"/>
              <w:divBdr>
                <w:top w:val="none" w:sz="0" w:space="0" w:color="auto"/>
                <w:left w:val="none" w:sz="0" w:space="0" w:color="auto"/>
                <w:bottom w:val="none" w:sz="0" w:space="0" w:color="auto"/>
                <w:right w:val="none" w:sz="0" w:space="0" w:color="auto"/>
              </w:divBdr>
              <w:divsChild>
                <w:div w:id="183233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02328">
      <w:bodyDiv w:val="1"/>
      <w:marLeft w:val="0"/>
      <w:marRight w:val="0"/>
      <w:marTop w:val="0"/>
      <w:marBottom w:val="0"/>
      <w:divBdr>
        <w:top w:val="none" w:sz="0" w:space="0" w:color="auto"/>
        <w:left w:val="none" w:sz="0" w:space="0" w:color="auto"/>
        <w:bottom w:val="none" w:sz="0" w:space="0" w:color="auto"/>
        <w:right w:val="none" w:sz="0" w:space="0" w:color="auto"/>
      </w:divBdr>
      <w:divsChild>
        <w:div w:id="813378284">
          <w:marLeft w:val="0"/>
          <w:marRight w:val="0"/>
          <w:marTop w:val="0"/>
          <w:marBottom w:val="0"/>
          <w:divBdr>
            <w:top w:val="none" w:sz="0" w:space="0" w:color="auto"/>
            <w:left w:val="none" w:sz="0" w:space="0" w:color="auto"/>
            <w:bottom w:val="none" w:sz="0" w:space="0" w:color="auto"/>
            <w:right w:val="none" w:sz="0" w:space="0" w:color="auto"/>
          </w:divBdr>
          <w:divsChild>
            <w:div w:id="1812402355">
              <w:marLeft w:val="0"/>
              <w:marRight w:val="0"/>
              <w:marTop w:val="0"/>
              <w:marBottom w:val="0"/>
              <w:divBdr>
                <w:top w:val="none" w:sz="0" w:space="0" w:color="auto"/>
                <w:left w:val="none" w:sz="0" w:space="0" w:color="auto"/>
                <w:bottom w:val="none" w:sz="0" w:space="0" w:color="auto"/>
                <w:right w:val="none" w:sz="0" w:space="0" w:color="auto"/>
              </w:divBdr>
              <w:divsChild>
                <w:div w:id="116611515">
                  <w:marLeft w:val="0"/>
                  <w:marRight w:val="0"/>
                  <w:marTop w:val="0"/>
                  <w:marBottom w:val="0"/>
                  <w:divBdr>
                    <w:top w:val="none" w:sz="0" w:space="0" w:color="auto"/>
                    <w:left w:val="none" w:sz="0" w:space="0" w:color="auto"/>
                    <w:bottom w:val="none" w:sz="0" w:space="0" w:color="auto"/>
                    <w:right w:val="none" w:sz="0" w:space="0" w:color="auto"/>
                  </w:divBdr>
                  <w:divsChild>
                    <w:div w:id="39081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894812">
      <w:bodyDiv w:val="1"/>
      <w:marLeft w:val="0"/>
      <w:marRight w:val="0"/>
      <w:marTop w:val="0"/>
      <w:marBottom w:val="0"/>
      <w:divBdr>
        <w:top w:val="none" w:sz="0" w:space="0" w:color="auto"/>
        <w:left w:val="none" w:sz="0" w:space="0" w:color="auto"/>
        <w:bottom w:val="none" w:sz="0" w:space="0" w:color="auto"/>
        <w:right w:val="none" w:sz="0" w:space="0" w:color="auto"/>
      </w:divBdr>
      <w:divsChild>
        <w:div w:id="352537359">
          <w:marLeft w:val="0"/>
          <w:marRight w:val="0"/>
          <w:marTop w:val="0"/>
          <w:marBottom w:val="0"/>
          <w:divBdr>
            <w:top w:val="none" w:sz="0" w:space="0" w:color="auto"/>
            <w:left w:val="none" w:sz="0" w:space="0" w:color="auto"/>
            <w:bottom w:val="none" w:sz="0" w:space="0" w:color="auto"/>
            <w:right w:val="none" w:sz="0" w:space="0" w:color="auto"/>
          </w:divBdr>
          <w:divsChild>
            <w:div w:id="1012219679">
              <w:marLeft w:val="0"/>
              <w:marRight w:val="0"/>
              <w:marTop w:val="0"/>
              <w:marBottom w:val="0"/>
              <w:divBdr>
                <w:top w:val="none" w:sz="0" w:space="0" w:color="auto"/>
                <w:left w:val="none" w:sz="0" w:space="0" w:color="auto"/>
                <w:bottom w:val="none" w:sz="0" w:space="0" w:color="auto"/>
                <w:right w:val="none" w:sz="0" w:space="0" w:color="auto"/>
              </w:divBdr>
              <w:divsChild>
                <w:div w:id="20849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78509">
      <w:bodyDiv w:val="1"/>
      <w:marLeft w:val="0"/>
      <w:marRight w:val="0"/>
      <w:marTop w:val="0"/>
      <w:marBottom w:val="0"/>
      <w:divBdr>
        <w:top w:val="none" w:sz="0" w:space="0" w:color="auto"/>
        <w:left w:val="none" w:sz="0" w:space="0" w:color="auto"/>
        <w:bottom w:val="none" w:sz="0" w:space="0" w:color="auto"/>
        <w:right w:val="none" w:sz="0" w:space="0" w:color="auto"/>
      </w:divBdr>
      <w:divsChild>
        <w:div w:id="933365798">
          <w:marLeft w:val="0"/>
          <w:marRight w:val="0"/>
          <w:marTop w:val="0"/>
          <w:marBottom w:val="0"/>
          <w:divBdr>
            <w:top w:val="none" w:sz="0" w:space="0" w:color="auto"/>
            <w:left w:val="none" w:sz="0" w:space="0" w:color="auto"/>
            <w:bottom w:val="none" w:sz="0" w:space="0" w:color="auto"/>
            <w:right w:val="none" w:sz="0" w:space="0" w:color="auto"/>
          </w:divBdr>
          <w:divsChild>
            <w:div w:id="1690108889">
              <w:marLeft w:val="0"/>
              <w:marRight w:val="0"/>
              <w:marTop w:val="0"/>
              <w:marBottom w:val="0"/>
              <w:divBdr>
                <w:top w:val="none" w:sz="0" w:space="0" w:color="auto"/>
                <w:left w:val="none" w:sz="0" w:space="0" w:color="auto"/>
                <w:bottom w:val="none" w:sz="0" w:space="0" w:color="auto"/>
                <w:right w:val="none" w:sz="0" w:space="0" w:color="auto"/>
              </w:divBdr>
              <w:divsChild>
                <w:div w:id="1731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14181">
      <w:bodyDiv w:val="1"/>
      <w:marLeft w:val="0"/>
      <w:marRight w:val="0"/>
      <w:marTop w:val="0"/>
      <w:marBottom w:val="0"/>
      <w:divBdr>
        <w:top w:val="none" w:sz="0" w:space="0" w:color="auto"/>
        <w:left w:val="none" w:sz="0" w:space="0" w:color="auto"/>
        <w:bottom w:val="none" w:sz="0" w:space="0" w:color="auto"/>
        <w:right w:val="none" w:sz="0" w:space="0" w:color="auto"/>
      </w:divBdr>
      <w:divsChild>
        <w:div w:id="1728794601">
          <w:marLeft w:val="0"/>
          <w:marRight w:val="0"/>
          <w:marTop w:val="0"/>
          <w:marBottom w:val="0"/>
          <w:divBdr>
            <w:top w:val="none" w:sz="0" w:space="0" w:color="auto"/>
            <w:left w:val="none" w:sz="0" w:space="0" w:color="auto"/>
            <w:bottom w:val="none" w:sz="0" w:space="0" w:color="auto"/>
            <w:right w:val="none" w:sz="0" w:space="0" w:color="auto"/>
          </w:divBdr>
          <w:divsChild>
            <w:div w:id="815873765">
              <w:marLeft w:val="0"/>
              <w:marRight w:val="0"/>
              <w:marTop w:val="0"/>
              <w:marBottom w:val="0"/>
              <w:divBdr>
                <w:top w:val="none" w:sz="0" w:space="0" w:color="auto"/>
                <w:left w:val="none" w:sz="0" w:space="0" w:color="auto"/>
                <w:bottom w:val="none" w:sz="0" w:space="0" w:color="auto"/>
                <w:right w:val="none" w:sz="0" w:space="0" w:color="auto"/>
              </w:divBdr>
              <w:divsChild>
                <w:div w:id="13298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436543">
      <w:bodyDiv w:val="1"/>
      <w:marLeft w:val="0"/>
      <w:marRight w:val="0"/>
      <w:marTop w:val="0"/>
      <w:marBottom w:val="0"/>
      <w:divBdr>
        <w:top w:val="none" w:sz="0" w:space="0" w:color="auto"/>
        <w:left w:val="none" w:sz="0" w:space="0" w:color="auto"/>
        <w:bottom w:val="none" w:sz="0" w:space="0" w:color="auto"/>
        <w:right w:val="none" w:sz="0" w:space="0" w:color="auto"/>
      </w:divBdr>
      <w:divsChild>
        <w:div w:id="1699624194">
          <w:marLeft w:val="0"/>
          <w:marRight w:val="0"/>
          <w:marTop w:val="0"/>
          <w:marBottom w:val="0"/>
          <w:divBdr>
            <w:top w:val="none" w:sz="0" w:space="0" w:color="auto"/>
            <w:left w:val="none" w:sz="0" w:space="0" w:color="auto"/>
            <w:bottom w:val="none" w:sz="0" w:space="0" w:color="auto"/>
            <w:right w:val="none" w:sz="0" w:space="0" w:color="auto"/>
          </w:divBdr>
          <w:divsChild>
            <w:div w:id="955716905">
              <w:marLeft w:val="0"/>
              <w:marRight w:val="0"/>
              <w:marTop w:val="0"/>
              <w:marBottom w:val="0"/>
              <w:divBdr>
                <w:top w:val="none" w:sz="0" w:space="0" w:color="auto"/>
                <w:left w:val="none" w:sz="0" w:space="0" w:color="auto"/>
                <w:bottom w:val="none" w:sz="0" w:space="0" w:color="auto"/>
                <w:right w:val="none" w:sz="0" w:space="0" w:color="auto"/>
              </w:divBdr>
              <w:divsChild>
                <w:div w:id="2019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637466">
      <w:bodyDiv w:val="1"/>
      <w:marLeft w:val="0"/>
      <w:marRight w:val="0"/>
      <w:marTop w:val="0"/>
      <w:marBottom w:val="0"/>
      <w:divBdr>
        <w:top w:val="none" w:sz="0" w:space="0" w:color="auto"/>
        <w:left w:val="none" w:sz="0" w:space="0" w:color="auto"/>
        <w:bottom w:val="none" w:sz="0" w:space="0" w:color="auto"/>
        <w:right w:val="none" w:sz="0" w:space="0" w:color="auto"/>
      </w:divBdr>
      <w:divsChild>
        <w:div w:id="302733840">
          <w:marLeft w:val="0"/>
          <w:marRight w:val="0"/>
          <w:marTop w:val="0"/>
          <w:marBottom w:val="0"/>
          <w:divBdr>
            <w:top w:val="none" w:sz="0" w:space="0" w:color="auto"/>
            <w:left w:val="none" w:sz="0" w:space="0" w:color="auto"/>
            <w:bottom w:val="none" w:sz="0" w:space="0" w:color="auto"/>
            <w:right w:val="none" w:sz="0" w:space="0" w:color="auto"/>
          </w:divBdr>
          <w:divsChild>
            <w:div w:id="1366636158">
              <w:marLeft w:val="0"/>
              <w:marRight w:val="0"/>
              <w:marTop w:val="0"/>
              <w:marBottom w:val="0"/>
              <w:divBdr>
                <w:top w:val="none" w:sz="0" w:space="0" w:color="auto"/>
                <w:left w:val="none" w:sz="0" w:space="0" w:color="auto"/>
                <w:bottom w:val="none" w:sz="0" w:space="0" w:color="auto"/>
                <w:right w:val="none" w:sz="0" w:space="0" w:color="auto"/>
              </w:divBdr>
              <w:divsChild>
                <w:div w:id="19123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35302">
      <w:bodyDiv w:val="1"/>
      <w:marLeft w:val="0"/>
      <w:marRight w:val="0"/>
      <w:marTop w:val="0"/>
      <w:marBottom w:val="0"/>
      <w:divBdr>
        <w:top w:val="none" w:sz="0" w:space="0" w:color="auto"/>
        <w:left w:val="none" w:sz="0" w:space="0" w:color="auto"/>
        <w:bottom w:val="none" w:sz="0" w:space="0" w:color="auto"/>
        <w:right w:val="none" w:sz="0" w:space="0" w:color="auto"/>
      </w:divBdr>
      <w:divsChild>
        <w:div w:id="874655508">
          <w:marLeft w:val="0"/>
          <w:marRight w:val="0"/>
          <w:marTop w:val="0"/>
          <w:marBottom w:val="0"/>
          <w:divBdr>
            <w:top w:val="none" w:sz="0" w:space="0" w:color="auto"/>
            <w:left w:val="none" w:sz="0" w:space="0" w:color="auto"/>
            <w:bottom w:val="none" w:sz="0" w:space="0" w:color="auto"/>
            <w:right w:val="none" w:sz="0" w:space="0" w:color="auto"/>
          </w:divBdr>
          <w:divsChild>
            <w:div w:id="1929345621">
              <w:marLeft w:val="0"/>
              <w:marRight w:val="0"/>
              <w:marTop w:val="0"/>
              <w:marBottom w:val="0"/>
              <w:divBdr>
                <w:top w:val="none" w:sz="0" w:space="0" w:color="auto"/>
                <w:left w:val="none" w:sz="0" w:space="0" w:color="auto"/>
                <w:bottom w:val="none" w:sz="0" w:space="0" w:color="auto"/>
                <w:right w:val="none" w:sz="0" w:space="0" w:color="auto"/>
              </w:divBdr>
              <w:divsChild>
                <w:div w:id="6075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97674">
      <w:bodyDiv w:val="1"/>
      <w:marLeft w:val="0"/>
      <w:marRight w:val="0"/>
      <w:marTop w:val="0"/>
      <w:marBottom w:val="0"/>
      <w:divBdr>
        <w:top w:val="none" w:sz="0" w:space="0" w:color="auto"/>
        <w:left w:val="none" w:sz="0" w:space="0" w:color="auto"/>
        <w:bottom w:val="none" w:sz="0" w:space="0" w:color="auto"/>
        <w:right w:val="none" w:sz="0" w:space="0" w:color="auto"/>
      </w:divBdr>
      <w:divsChild>
        <w:div w:id="1285501900">
          <w:marLeft w:val="0"/>
          <w:marRight w:val="0"/>
          <w:marTop w:val="0"/>
          <w:marBottom w:val="0"/>
          <w:divBdr>
            <w:top w:val="none" w:sz="0" w:space="0" w:color="auto"/>
            <w:left w:val="none" w:sz="0" w:space="0" w:color="auto"/>
            <w:bottom w:val="none" w:sz="0" w:space="0" w:color="auto"/>
            <w:right w:val="none" w:sz="0" w:space="0" w:color="auto"/>
          </w:divBdr>
          <w:divsChild>
            <w:div w:id="226457480">
              <w:marLeft w:val="0"/>
              <w:marRight w:val="0"/>
              <w:marTop w:val="0"/>
              <w:marBottom w:val="0"/>
              <w:divBdr>
                <w:top w:val="none" w:sz="0" w:space="0" w:color="auto"/>
                <w:left w:val="none" w:sz="0" w:space="0" w:color="auto"/>
                <w:bottom w:val="none" w:sz="0" w:space="0" w:color="auto"/>
                <w:right w:val="none" w:sz="0" w:space="0" w:color="auto"/>
              </w:divBdr>
              <w:divsChild>
                <w:div w:id="144823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30428">
      <w:bodyDiv w:val="1"/>
      <w:marLeft w:val="0"/>
      <w:marRight w:val="0"/>
      <w:marTop w:val="0"/>
      <w:marBottom w:val="0"/>
      <w:divBdr>
        <w:top w:val="none" w:sz="0" w:space="0" w:color="auto"/>
        <w:left w:val="none" w:sz="0" w:space="0" w:color="auto"/>
        <w:bottom w:val="none" w:sz="0" w:space="0" w:color="auto"/>
        <w:right w:val="none" w:sz="0" w:space="0" w:color="auto"/>
      </w:divBdr>
      <w:divsChild>
        <w:div w:id="372194836">
          <w:marLeft w:val="0"/>
          <w:marRight w:val="0"/>
          <w:marTop w:val="0"/>
          <w:marBottom w:val="0"/>
          <w:divBdr>
            <w:top w:val="none" w:sz="0" w:space="0" w:color="auto"/>
            <w:left w:val="none" w:sz="0" w:space="0" w:color="auto"/>
            <w:bottom w:val="none" w:sz="0" w:space="0" w:color="auto"/>
            <w:right w:val="none" w:sz="0" w:space="0" w:color="auto"/>
          </w:divBdr>
          <w:divsChild>
            <w:div w:id="2047102795">
              <w:marLeft w:val="0"/>
              <w:marRight w:val="0"/>
              <w:marTop w:val="0"/>
              <w:marBottom w:val="0"/>
              <w:divBdr>
                <w:top w:val="none" w:sz="0" w:space="0" w:color="auto"/>
                <w:left w:val="none" w:sz="0" w:space="0" w:color="auto"/>
                <w:bottom w:val="none" w:sz="0" w:space="0" w:color="auto"/>
                <w:right w:val="none" w:sz="0" w:space="0" w:color="auto"/>
              </w:divBdr>
              <w:divsChild>
                <w:div w:id="8532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932518">
      <w:bodyDiv w:val="1"/>
      <w:marLeft w:val="0"/>
      <w:marRight w:val="0"/>
      <w:marTop w:val="0"/>
      <w:marBottom w:val="0"/>
      <w:divBdr>
        <w:top w:val="none" w:sz="0" w:space="0" w:color="auto"/>
        <w:left w:val="none" w:sz="0" w:space="0" w:color="auto"/>
        <w:bottom w:val="none" w:sz="0" w:space="0" w:color="auto"/>
        <w:right w:val="none" w:sz="0" w:space="0" w:color="auto"/>
      </w:divBdr>
      <w:divsChild>
        <w:div w:id="1212614878">
          <w:marLeft w:val="0"/>
          <w:marRight w:val="0"/>
          <w:marTop w:val="0"/>
          <w:marBottom w:val="0"/>
          <w:divBdr>
            <w:top w:val="none" w:sz="0" w:space="0" w:color="auto"/>
            <w:left w:val="none" w:sz="0" w:space="0" w:color="auto"/>
            <w:bottom w:val="none" w:sz="0" w:space="0" w:color="auto"/>
            <w:right w:val="none" w:sz="0" w:space="0" w:color="auto"/>
          </w:divBdr>
          <w:divsChild>
            <w:div w:id="1203327994">
              <w:marLeft w:val="0"/>
              <w:marRight w:val="0"/>
              <w:marTop w:val="0"/>
              <w:marBottom w:val="0"/>
              <w:divBdr>
                <w:top w:val="none" w:sz="0" w:space="0" w:color="auto"/>
                <w:left w:val="none" w:sz="0" w:space="0" w:color="auto"/>
                <w:bottom w:val="none" w:sz="0" w:space="0" w:color="auto"/>
                <w:right w:val="none" w:sz="0" w:space="0" w:color="auto"/>
              </w:divBdr>
              <w:divsChild>
                <w:div w:id="11830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92008">
      <w:bodyDiv w:val="1"/>
      <w:marLeft w:val="0"/>
      <w:marRight w:val="0"/>
      <w:marTop w:val="0"/>
      <w:marBottom w:val="0"/>
      <w:divBdr>
        <w:top w:val="none" w:sz="0" w:space="0" w:color="auto"/>
        <w:left w:val="none" w:sz="0" w:space="0" w:color="auto"/>
        <w:bottom w:val="none" w:sz="0" w:space="0" w:color="auto"/>
        <w:right w:val="none" w:sz="0" w:space="0" w:color="auto"/>
      </w:divBdr>
      <w:divsChild>
        <w:div w:id="575241543">
          <w:marLeft w:val="0"/>
          <w:marRight w:val="0"/>
          <w:marTop w:val="0"/>
          <w:marBottom w:val="0"/>
          <w:divBdr>
            <w:top w:val="none" w:sz="0" w:space="0" w:color="auto"/>
            <w:left w:val="none" w:sz="0" w:space="0" w:color="auto"/>
            <w:bottom w:val="none" w:sz="0" w:space="0" w:color="auto"/>
            <w:right w:val="none" w:sz="0" w:space="0" w:color="auto"/>
          </w:divBdr>
          <w:divsChild>
            <w:div w:id="1622609004">
              <w:marLeft w:val="0"/>
              <w:marRight w:val="0"/>
              <w:marTop w:val="0"/>
              <w:marBottom w:val="0"/>
              <w:divBdr>
                <w:top w:val="none" w:sz="0" w:space="0" w:color="auto"/>
                <w:left w:val="none" w:sz="0" w:space="0" w:color="auto"/>
                <w:bottom w:val="none" w:sz="0" w:space="0" w:color="auto"/>
                <w:right w:val="none" w:sz="0" w:space="0" w:color="auto"/>
              </w:divBdr>
              <w:divsChild>
                <w:div w:id="74083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86440">
      <w:bodyDiv w:val="1"/>
      <w:marLeft w:val="0"/>
      <w:marRight w:val="0"/>
      <w:marTop w:val="0"/>
      <w:marBottom w:val="0"/>
      <w:divBdr>
        <w:top w:val="none" w:sz="0" w:space="0" w:color="auto"/>
        <w:left w:val="none" w:sz="0" w:space="0" w:color="auto"/>
        <w:bottom w:val="none" w:sz="0" w:space="0" w:color="auto"/>
        <w:right w:val="none" w:sz="0" w:space="0" w:color="auto"/>
      </w:divBdr>
      <w:divsChild>
        <w:div w:id="1470973027">
          <w:marLeft w:val="0"/>
          <w:marRight w:val="0"/>
          <w:marTop w:val="0"/>
          <w:marBottom w:val="0"/>
          <w:divBdr>
            <w:top w:val="none" w:sz="0" w:space="0" w:color="auto"/>
            <w:left w:val="none" w:sz="0" w:space="0" w:color="auto"/>
            <w:bottom w:val="none" w:sz="0" w:space="0" w:color="auto"/>
            <w:right w:val="none" w:sz="0" w:space="0" w:color="auto"/>
          </w:divBdr>
          <w:divsChild>
            <w:div w:id="1795100575">
              <w:marLeft w:val="0"/>
              <w:marRight w:val="0"/>
              <w:marTop w:val="0"/>
              <w:marBottom w:val="0"/>
              <w:divBdr>
                <w:top w:val="none" w:sz="0" w:space="0" w:color="auto"/>
                <w:left w:val="none" w:sz="0" w:space="0" w:color="auto"/>
                <w:bottom w:val="none" w:sz="0" w:space="0" w:color="auto"/>
                <w:right w:val="none" w:sz="0" w:space="0" w:color="auto"/>
              </w:divBdr>
              <w:divsChild>
                <w:div w:id="162496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98889">
      <w:bodyDiv w:val="1"/>
      <w:marLeft w:val="0"/>
      <w:marRight w:val="0"/>
      <w:marTop w:val="0"/>
      <w:marBottom w:val="0"/>
      <w:divBdr>
        <w:top w:val="none" w:sz="0" w:space="0" w:color="auto"/>
        <w:left w:val="none" w:sz="0" w:space="0" w:color="auto"/>
        <w:bottom w:val="none" w:sz="0" w:space="0" w:color="auto"/>
        <w:right w:val="none" w:sz="0" w:space="0" w:color="auto"/>
      </w:divBdr>
      <w:divsChild>
        <w:div w:id="252250771">
          <w:marLeft w:val="0"/>
          <w:marRight w:val="0"/>
          <w:marTop w:val="0"/>
          <w:marBottom w:val="0"/>
          <w:divBdr>
            <w:top w:val="none" w:sz="0" w:space="0" w:color="auto"/>
            <w:left w:val="none" w:sz="0" w:space="0" w:color="auto"/>
            <w:bottom w:val="none" w:sz="0" w:space="0" w:color="auto"/>
            <w:right w:val="none" w:sz="0" w:space="0" w:color="auto"/>
          </w:divBdr>
          <w:divsChild>
            <w:div w:id="1710033227">
              <w:marLeft w:val="0"/>
              <w:marRight w:val="0"/>
              <w:marTop w:val="0"/>
              <w:marBottom w:val="0"/>
              <w:divBdr>
                <w:top w:val="none" w:sz="0" w:space="0" w:color="auto"/>
                <w:left w:val="none" w:sz="0" w:space="0" w:color="auto"/>
                <w:bottom w:val="none" w:sz="0" w:space="0" w:color="auto"/>
                <w:right w:val="none" w:sz="0" w:space="0" w:color="auto"/>
              </w:divBdr>
              <w:divsChild>
                <w:div w:id="21424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736902">
      <w:bodyDiv w:val="1"/>
      <w:marLeft w:val="0"/>
      <w:marRight w:val="0"/>
      <w:marTop w:val="0"/>
      <w:marBottom w:val="0"/>
      <w:divBdr>
        <w:top w:val="none" w:sz="0" w:space="0" w:color="auto"/>
        <w:left w:val="none" w:sz="0" w:space="0" w:color="auto"/>
        <w:bottom w:val="none" w:sz="0" w:space="0" w:color="auto"/>
        <w:right w:val="none" w:sz="0" w:space="0" w:color="auto"/>
      </w:divBdr>
    </w:div>
    <w:div w:id="840662256">
      <w:bodyDiv w:val="1"/>
      <w:marLeft w:val="0"/>
      <w:marRight w:val="0"/>
      <w:marTop w:val="0"/>
      <w:marBottom w:val="0"/>
      <w:divBdr>
        <w:top w:val="none" w:sz="0" w:space="0" w:color="auto"/>
        <w:left w:val="none" w:sz="0" w:space="0" w:color="auto"/>
        <w:bottom w:val="none" w:sz="0" w:space="0" w:color="auto"/>
        <w:right w:val="none" w:sz="0" w:space="0" w:color="auto"/>
      </w:divBdr>
      <w:divsChild>
        <w:div w:id="302009594">
          <w:marLeft w:val="0"/>
          <w:marRight w:val="0"/>
          <w:marTop w:val="0"/>
          <w:marBottom w:val="0"/>
          <w:divBdr>
            <w:top w:val="none" w:sz="0" w:space="0" w:color="auto"/>
            <w:left w:val="none" w:sz="0" w:space="0" w:color="auto"/>
            <w:bottom w:val="none" w:sz="0" w:space="0" w:color="auto"/>
            <w:right w:val="none" w:sz="0" w:space="0" w:color="auto"/>
          </w:divBdr>
          <w:divsChild>
            <w:div w:id="2055613697">
              <w:marLeft w:val="0"/>
              <w:marRight w:val="0"/>
              <w:marTop w:val="0"/>
              <w:marBottom w:val="0"/>
              <w:divBdr>
                <w:top w:val="none" w:sz="0" w:space="0" w:color="auto"/>
                <w:left w:val="none" w:sz="0" w:space="0" w:color="auto"/>
                <w:bottom w:val="none" w:sz="0" w:space="0" w:color="auto"/>
                <w:right w:val="none" w:sz="0" w:space="0" w:color="auto"/>
              </w:divBdr>
              <w:divsChild>
                <w:div w:id="7569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95404">
      <w:bodyDiv w:val="1"/>
      <w:marLeft w:val="0"/>
      <w:marRight w:val="0"/>
      <w:marTop w:val="0"/>
      <w:marBottom w:val="0"/>
      <w:divBdr>
        <w:top w:val="none" w:sz="0" w:space="0" w:color="auto"/>
        <w:left w:val="none" w:sz="0" w:space="0" w:color="auto"/>
        <w:bottom w:val="none" w:sz="0" w:space="0" w:color="auto"/>
        <w:right w:val="none" w:sz="0" w:space="0" w:color="auto"/>
      </w:divBdr>
      <w:divsChild>
        <w:div w:id="1141656239">
          <w:marLeft w:val="0"/>
          <w:marRight w:val="0"/>
          <w:marTop w:val="0"/>
          <w:marBottom w:val="0"/>
          <w:divBdr>
            <w:top w:val="none" w:sz="0" w:space="0" w:color="auto"/>
            <w:left w:val="none" w:sz="0" w:space="0" w:color="auto"/>
            <w:bottom w:val="none" w:sz="0" w:space="0" w:color="auto"/>
            <w:right w:val="none" w:sz="0" w:space="0" w:color="auto"/>
          </w:divBdr>
          <w:divsChild>
            <w:div w:id="82455927">
              <w:marLeft w:val="0"/>
              <w:marRight w:val="0"/>
              <w:marTop w:val="0"/>
              <w:marBottom w:val="0"/>
              <w:divBdr>
                <w:top w:val="none" w:sz="0" w:space="0" w:color="auto"/>
                <w:left w:val="none" w:sz="0" w:space="0" w:color="auto"/>
                <w:bottom w:val="none" w:sz="0" w:space="0" w:color="auto"/>
                <w:right w:val="none" w:sz="0" w:space="0" w:color="auto"/>
              </w:divBdr>
              <w:divsChild>
                <w:div w:id="101168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59219">
      <w:bodyDiv w:val="1"/>
      <w:marLeft w:val="0"/>
      <w:marRight w:val="0"/>
      <w:marTop w:val="0"/>
      <w:marBottom w:val="0"/>
      <w:divBdr>
        <w:top w:val="none" w:sz="0" w:space="0" w:color="auto"/>
        <w:left w:val="none" w:sz="0" w:space="0" w:color="auto"/>
        <w:bottom w:val="none" w:sz="0" w:space="0" w:color="auto"/>
        <w:right w:val="none" w:sz="0" w:space="0" w:color="auto"/>
      </w:divBdr>
      <w:divsChild>
        <w:div w:id="844133906">
          <w:marLeft w:val="0"/>
          <w:marRight w:val="0"/>
          <w:marTop w:val="0"/>
          <w:marBottom w:val="0"/>
          <w:divBdr>
            <w:top w:val="none" w:sz="0" w:space="0" w:color="auto"/>
            <w:left w:val="none" w:sz="0" w:space="0" w:color="auto"/>
            <w:bottom w:val="none" w:sz="0" w:space="0" w:color="auto"/>
            <w:right w:val="none" w:sz="0" w:space="0" w:color="auto"/>
          </w:divBdr>
          <w:divsChild>
            <w:div w:id="1977175677">
              <w:marLeft w:val="0"/>
              <w:marRight w:val="0"/>
              <w:marTop w:val="0"/>
              <w:marBottom w:val="0"/>
              <w:divBdr>
                <w:top w:val="none" w:sz="0" w:space="0" w:color="auto"/>
                <w:left w:val="none" w:sz="0" w:space="0" w:color="auto"/>
                <w:bottom w:val="none" w:sz="0" w:space="0" w:color="auto"/>
                <w:right w:val="none" w:sz="0" w:space="0" w:color="auto"/>
              </w:divBdr>
              <w:divsChild>
                <w:div w:id="131703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8009">
      <w:bodyDiv w:val="1"/>
      <w:marLeft w:val="0"/>
      <w:marRight w:val="0"/>
      <w:marTop w:val="0"/>
      <w:marBottom w:val="0"/>
      <w:divBdr>
        <w:top w:val="none" w:sz="0" w:space="0" w:color="auto"/>
        <w:left w:val="none" w:sz="0" w:space="0" w:color="auto"/>
        <w:bottom w:val="none" w:sz="0" w:space="0" w:color="auto"/>
        <w:right w:val="none" w:sz="0" w:space="0" w:color="auto"/>
      </w:divBdr>
      <w:divsChild>
        <w:div w:id="1800802260">
          <w:marLeft w:val="0"/>
          <w:marRight w:val="0"/>
          <w:marTop w:val="0"/>
          <w:marBottom w:val="0"/>
          <w:divBdr>
            <w:top w:val="none" w:sz="0" w:space="0" w:color="auto"/>
            <w:left w:val="none" w:sz="0" w:space="0" w:color="auto"/>
            <w:bottom w:val="none" w:sz="0" w:space="0" w:color="auto"/>
            <w:right w:val="none" w:sz="0" w:space="0" w:color="auto"/>
          </w:divBdr>
          <w:divsChild>
            <w:div w:id="1727796415">
              <w:marLeft w:val="0"/>
              <w:marRight w:val="0"/>
              <w:marTop w:val="0"/>
              <w:marBottom w:val="0"/>
              <w:divBdr>
                <w:top w:val="none" w:sz="0" w:space="0" w:color="auto"/>
                <w:left w:val="none" w:sz="0" w:space="0" w:color="auto"/>
                <w:bottom w:val="none" w:sz="0" w:space="0" w:color="auto"/>
                <w:right w:val="none" w:sz="0" w:space="0" w:color="auto"/>
              </w:divBdr>
              <w:divsChild>
                <w:div w:id="13711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17714">
      <w:bodyDiv w:val="1"/>
      <w:marLeft w:val="0"/>
      <w:marRight w:val="0"/>
      <w:marTop w:val="0"/>
      <w:marBottom w:val="0"/>
      <w:divBdr>
        <w:top w:val="none" w:sz="0" w:space="0" w:color="auto"/>
        <w:left w:val="none" w:sz="0" w:space="0" w:color="auto"/>
        <w:bottom w:val="none" w:sz="0" w:space="0" w:color="auto"/>
        <w:right w:val="none" w:sz="0" w:space="0" w:color="auto"/>
      </w:divBdr>
      <w:divsChild>
        <w:div w:id="2052459942">
          <w:marLeft w:val="0"/>
          <w:marRight w:val="0"/>
          <w:marTop w:val="0"/>
          <w:marBottom w:val="0"/>
          <w:divBdr>
            <w:top w:val="none" w:sz="0" w:space="0" w:color="auto"/>
            <w:left w:val="none" w:sz="0" w:space="0" w:color="auto"/>
            <w:bottom w:val="none" w:sz="0" w:space="0" w:color="auto"/>
            <w:right w:val="none" w:sz="0" w:space="0" w:color="auto"/>
          </w:divBdr>
          <w:divsChild>
            <w:div w:id="1247764717">
              <w:marLeft w:val="0"/>
              <w:marRight w:val="0"/>
              <w:marTop w:val="0"/>
              <w:marBottom w:val="0"/>
              <w:divBdr>
                <w:top w:val="none" w:sz="0" w:space="0" w:color="auto"/>
                <w:left w:val="none" w:sz="0" w:space="0" w:color="auto"/>
                <w:bottom w:val="none" w:sz="0" w:space="0" w:color="auto"/>
                <w:right w:val="none" w:sz="0" w:space="0" w:color="auto"/>
              </w:divBdr>
              <w:divsChild>
                <w:div w:id="21182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55790">
      <w:bodyDiv w:val="1"/>
      <w:marLeft w:val="0"/>
      <w:marRight w:val="0"/>
      <w:marTop w:val="0"/>
      <w:marBottom w:val="0"/>
      <w:divBdr>
        <w:top w:val="none" w:sz="0" w:space="0" w:color="auto"/>
        <w:left w:val="none" w:sz="0" w:space="0" w:color="auto"/>
        <w:bottom w:val="none" w:sz="0" w:space="0" w:color="auto"/>
        <w:right w:val="none" w:sz="0" w:space="0" w:color="auto"/>
      </w:divBdr>
      <w:divsChild>
        <w:div w:id="409037573">
          <w:marLeft w:val="0"/>
          <w:marRight w:val="0"/>
          <w:marTop w:val="0"/>
          <w:marBottom w:val="0"/>
          <w:divBdr>
            <w:top w:val="none" w:sz="0" w:space="0" w:color="auto"/>
            <w:left w:val="none" w:sz="0" w:space="0" w:color="auto"/>
            <w:bottom w:val="none" w:sz="0" w:space="0" w:color="auto"/>
            <w:right w:val="none" w:sz="0" w:space="0" w:color="auto"/>
          </w:divBdr>
          <w:divsChild>
            <w:div w:id="814571437">
              <w:marLeft w:val="0"/>
              <w:marRight w:val="0"/>
              <w:marTop w:val="0"/>
              <w:marBottom w:val="0"/>
              <w:divBdr>
                <w:top w:val="none" w:sz="0" w:space="0" w:color="auto"/>
                <w:left w:val="none" w:sz="0" w:space="0" w:color="auto"/>
                <w:bottom w:val="none" w:sz="0" w:space="0" w:color="auto"/>
                <w:right w:val="none" w:sz="0" w:space="0" w:color="auto"/>
              </w:divBdr>
              <w:divsChild>
                <w:div w:id="685518302">
                  <w:marLeft w:val="0"/>
                  <w:marRight w:val="0"/>
                  <w:marTop w:val="0"/>
                  <w:marBottom w:val="0"/>
                  <w:divBdr>
                    <w:top w:val="none" w:sz="0" w:space="0" w:color="auto"/>
                    <w:left w:val="none" w:sz="0" w:space="0" w:color="auto"/>
                    <w:bottom w:val="none" w:sz="0" w:space="0" w:color="auto"/>
                    <w:right w:val="none" w:sz="0" w:space="0" w:color="auto"/>
                  </w:divBdr>
                  <w:divsChild>
                    <w:div w:id="21279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429408">
      <w:bodyDiv w:val="1"/>
      <w:marLeft w:val="0"/>
      <w:marRight w:val="0"/>
      <w:marTop w:val="0"/>
      <w:marBottom w:val="0"/>
      <w:divBdr>
        <w:top w:val="none" w:sz="0" w:space="0" w:color="auto"/>
        <w:left w:val="none" w:sz="0" w:space="0" w:color="auto"/>
        <w:bottom w:val="none" w:sz="0" w:space="0" w:color="auto"/>
        <w:right w:val="none" w:sz="0" w:space="0" w:color="auto"/>
      </w:divBdr>
      <w:divsChild>
        <w:div w:id="1757552363">
          <w:marLeft w:val="0"/>
          <w:marRight w:val="0"/>
          <w:marTop w:val="0"/>
          <w:marBottom w:val="0"/>
          <w:divBdr>
            <w:top w:val="none" w:sz="0" w:space="0" w:color="auto"/>
            <w:left w:val="none" w:sz="0" w:space="0" w:color="auto"/>
            <w:bottom w:val="none" w:sz="0" w:space="0" w:color="auto"/>
            <w:right w:val="none" w:sz="0" w:space="0" w:color="auto"/>
          </w:divBdr>
          <w:divsChild>
            <w:div w:id="786051115">
              <w:marLeft w:val="0"/>
              <w:marRight w:val="0"/>
              <w:marTop w:val="0"/>
              <w:marBottom w:val="0"/>
              <w:divBdr>
                <w:top w:val="none" w:sz="0" w:space="0" w:color="auto"/>
                <w:left w:val="none" w:sz="0" w:space="0" w:color="auto"/>
                <w:bottom w:val="none" w:sz="0" w:space="0" w:color="auto"/>
                <w:right w:val="none" w:sz="0" w:space="0" w:color="auto"/>
              </w:divBdr>
              <w:divsChild>
                <w:div w:id="128937002">
                  <w:marLeft w:val="0"/>
                  <w:marRight w:val="0"/>
                  <w:marTop w:val="0"/>
                  <w:marBottom w:val="0"/>
                  <w:divBdr>
                    <w:top w:val="none" w:sz="0" w:space="0" w:color="auto"/>
                    <w:left w:val="none" w:sz="0" w:space="0" w:color="auto"/>
                    <w:bottom w:val="none" w:sz="0" w:space="0" w:color="auto"/>
                    <w:right w:val="none" w:sz="0" w:space="0" w:color="auto"/>
                  </w:divBdr>
                  <w:divsChild>
                    <w:div w:id="13659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18585">
      <w:bodyDiv w:val="1"/>
      <w:marLeft w:val="0"/>
      <w:marRight w:val="0"/>
      <w:marTop w:val="0"/>
      <w:marBottom w:val="0"/>
      <w:divBdr>
        <w:top w:val="none" w:sz="0" w:space="0" w:color="auto"/>
        <w:left w:val="none" w:sz="0" w:space="0" w:color="auto"/>
        <w:bottom w:val="none" w:sz="0" w:space="0" w:color="auto"/>
        <w:right w:val="none" w:sz="0" w:space="0" w:color="auto"/>
      </w:divBdr>
      <w:divsChild>
        <w:div w:id="303003381">
          <w:marLeft w:val="0"/>
          <w:marRight w:val="0"/>
          <w:marTop w:val="0"/>
          <w:marBottom w:val="0"/>
          <w:divBdr>
            <w:top w:val="none" w:sz="0" w:space="0" w:color="auto"/>
            <w:left w:val="none" w:sz="0" w:space="0" w:color="auto"/>
            <w:bottom w:val="none" w:sz="0" w:space="0" w:color="auto"/>
            <w:right w:val="none" w:sz="0" w:space="0" w:color="auto"/>
          </w:divBdr>
          <w:divsChild>
            <w:div w:id="2051875112">
              <w:marLeft w:val="0"/>
              <w:marRight w:val="0"/>
              <w:marTop w:val="0"/>
              <w:marBottom w:val="0"/>
              <w:divBdr>
                <w:top w:val="none" w:sz="0" w:space="0" w:color="auto"/>
                <w:left w:val="none" w:sz="0" w:space="0" w:color="auto"/>
                <w:bottom w:val="none" w:sz="0" w:space="0" w:color="auto"/>
                <w:right w:val="none" w:sz="0" w:space="0" w:color="auto"/>
              </w:divBdr>
              <w:divsChild>
                <w:div w:id="44415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92642">
      <w:bodyDiv w:val="1"/>
      <w:marLeft w:val="0"/>
      <w:marRight w:val="0"/>
      <w:marTop w:val="0"/>
      <w:marBottom w:val="0"/>
      <w:divBdr>
        <w:top w:val="none" w:sz="0" w:space="0" w:color="auto"/>
        <w:left w:val="none" w:sz="0" w:space="0" w:color="auto"/>
        <w:bottom w:val="none" w:sz="0" w:space="0" w:color="auto"/>
        <w:right w:val="none" w:sz="0" w:space="0" w:color="auto"/>
      </w:divBdr>
      <w:divsChild>
        <w:div w:id="1348369972">
          <w:marLeft w:val="0"/>
          <w:marRight w:val="0"/>
          <w:marTop w:val="0"/>
          <w:marBottom w:val="0"/>
          <w:divBdr>
            <w:top w:val="none" w:sz="0" w:space="0" w:color="auto"/>
            <w:left w:val="none" w:sz="0" w:space="0" w:color="auto"/>
            <w:bottom w:val="none" w:sz="0" w:space="0" w:color="auto"/>
            <w:right w:val="none" w:sz="0" w:space="0" w:color="auto"/>
          </w:divBdr>
          <w:divsChild>
            <w:div w:id="1067918527">
              <w:marLeft w:val="0"/>
              <w:marRight w:val="0"/>
              <w:marTop w:val="0"/>
              <w:marBottom w:val="0"/>
              <w:divBdr>
                <w:top w:val="none" w:sz="0" w:space="0" w:color="auto"/>
                <w:left w:val="none" w:sz="0" w:space="0" w:color="auto"/>
                <w:bottom w:val="none" w:sz="0" w:space="0" w:color="auto"/>
                <w:right w:val="none" w:sz="0" w:space="0" w:color="auto"/>
              </w:divBdr>
              <w:divsChild>
                <w:div w:id="7726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604781">
      <w:bodyDiv w:val="1"/>
      <w:marLeft w:val="0"/>
      <w:marRight w:val="0"/>
      <w:marTop w:val="0"/>
      <w:marBottom w:val="0"/>
      <w:divBdr>
        <w:top w:val="none" w:sz="0" w:space="0" w:color="auto"/>
        <w:left w:val="none" w:sz="0" w:space="0" w:color="auto"/>
        <w:bottom w:val="none" w:sz="0" w:space="0" w:color="auto"/>
        <w:right w:val="none" w:sz="0" w:space="0" w:color="auto"/>
      </w:divBdr>
      <w:divsChild>
        <w:div w:id="1669745417">
          <w:marLeft w:val="0"/>
          <w:marRight w:val="0"/>
          <w:marTop w:val="0"/>
          <w:marBottom w:val="0"/>
          <w:divBdr>
            <w:top w:val="none" w:sz="0" w:space="0" w:color="auto"/>
            <w:left w:val="none" w:sz="0" w:space="0" w:color="auto"/>
            <w:bottom w:val="none" w:sz="0" w:space="0" w:color="auto"/>
            <w:right w:val="none" w:sz="0" w:space="0" w:color="auto"/>
          </w:divBdr>
          <w:divsChild>
            <w:div w:id="469250978">
              <w:marLeft w:val="0"/>
              <w:marRight w:val="0"/>
              <w:marTop w:val="0"/>
              <w:marBottom w:val="0"/>
              <w:divBdr>
                <w:top w:val="none" w:sz="0" w:space="0" w:color="auto"/>
                <w:left w:val="none" w:sz="0" w:space="0" w:color="auto"/>
                <w:bottom w:val="none" w:sz="0" w:space="0" w:color="auto"/>
                <w:right w:val="none" w:sz="0" w:space="0" w:color="auto"/>
              </w:divBdr>
              <w:divsChild>
                <w:div w:id="25880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8486">
      <w:bodyDiv w:val="1"/>
      <w:marLeft w:val="0"/>
      <w:marRight w:val="0"/>
      <w:marTop w:val="0"/>
      <w:marBottom w:val="0"/>
      <w:divBdr>
        <w:top w:val="none" w:sz="0" w:space="0" w:color="auto"/>
        <w:left w:val="none" w:sz="0" w:space="0" w:color="auto"/>
        <w:bottom w:val="none" w:sz="0" w:space="0" w:color="auto"/>
        <w:right w:val="none" w:sz="0" w:space="0" w:color="auto"/>
      </w:divBdr>
      <w:divsChild>
        <w:div w:id="426921527">
          <w:marLeft w:val="0"/>
          <w:marRight w:val="0"/>
          <w:marTop w:val="0"/>
          <w:marBottom w:val="0"/>
          <w:divBdr>
            <w:top w:val="none" w:sz="0" w:space="0" w:color="auto"/>
            <w:left w:val="none" w:sz="0" w:space="0" w:color="auto"/>
            <w:bottom w:val="none" w:sz="0" w:space="0" w:color="auto"/>
            <w:right w:val="none" w:sz="0" w:space="0" w:color="auto"/>
          </w:divBdr>
          <w:divsChild>
            <w:div w:id="414517770">
              <w:marLeft w:val="0"/>
              <w:marRight w:val="0"/>
              <w:marTop w:val="0"/>
              <w:marBottom w:val="0"/>
              <w:divBdr>
                <w:top w:val="none" w:sz="0" w:space="0" w:color="auto"/>
                <w:left w:val="none" w:sz="0" w:space="0" w:color="auto"/>
                <w:bottom w:val="none" w:sz="0" w:space="0" w:color="auto"/>
                <w:right w:val="none" w:sz="0" w:space="0" w:color="auto"/>
              </w:divBdr>
              <w:divsChild>
                <w:div w:id="10370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16513">
      <w:bodyDiv w:val="1"/>
      <w:marLeft w:val="0"/>
      <w:marRight w:val="0"/>
      <w:marTop w:val="0"/>
      <w:marBottom w:val="0"/>
      <w:divBdr>
        <w:top w:val="none" w:sz="0" w:space="0" w:color="auto"/>
        <w:left w:val="none" w:sz="0" w:space="0" w:color="auto"/>
        <w:bottom w:val="none" w:sz="0" w:space="0" w:color="auto"/>
        <w:right w:val="none" w:sz="0" w:space="0" w:color="auto"/>
      </w:divBdr>
      <w:divsChild>
        <w:div w:id="501433133">
          <w:marLeft w:val="0"/>
          <w:marRight w:val="0"/>
          <w:marTop w:val="0"/>
          <w:marBottom w:val="0"/>
          <w:divBdr>
            <w:top w:val="none" w:sz="0" w:space="0" w:color="auto"/>
            <w:left w:val="none" w:sz="0" w:space="0" w:color="auto"/>
            <w:bottom w:val="none" w:sz="0" w:space="0" w:color="auto"/>
            <w:right w:val="none" w:sz="0" w:space="0" w:color="auto"/>
          </w:divBdr>
          <w:divsChild>
            <w:div w:id="45446980">
              <w:marLeft w:val="0"/>
              <w:marRight w:val="0"/>
              <w:marTop w:val="0"/>
              <w:marBottom w:val="0"/>
              <w:divBdr>
                <w:top w:val="none" w:sz="0" w:space="0" w:color="auto"/>
                <w:left w:val="none" w:sz="0" w:space="0" w:color="auto"/>
                <w:bottom w:val="none" w:sz="0" w:space="0" w:color="auto"/>
                <w:right w:val="none" w:sz="0" w:space="0" w:color="auto"/>
              </w:divBdr>
              <w:divsChild>
                <w:div w:id="14561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20090">
      <w:bodyDiv w:val="1"/>
      <w:marLeft w:val="0"/>
      <w:marRight w:val="0"/>
      <w:marTop w:val="0"/>
      <w:marBottom w:val="0"/>
      <w:divBdr>
        <w:top w:val="none" w:sz="0" w:space="0" w:color="auto"/>
        <w:left w:val="none" w:sz="0" w:space="0" w:color="auto"/>
        <w:bottom w:val="none" w:sz="0" w:space="0" w:color="auto"/>
        <w:right w:val="none" w:sz="0" w:space="0" w:color="auto"/>
      </w:divBdr>
      <w:divsChild>
        <w:div w:id="581917874">
          <w:marLeft w:val="0"/>
          <w:marRight w:val="0"/>
          <w:marTop w:val="0"/>
          <w:marBottom w:val="0"/>
          <w:divBdr>
            <w:top w:val="none" w:sz="0" w:space="0" w:color="auto"/>
            <w:left w:val="none" w:sz="0" w:space="0" w:color="auto"/>
            <w:bottom w:val="none" w:sz="0" w:space="0" w:color="auto"/>
            <w:right w:val="none" w:sz="0" w:space="0" w:color="auto"/>
          </w:divBdr>
          <w:divsChild>
            <w:div w:id="1287926305">
              <w:marLeft w:val="0"/>
              <w:marRight w:val="0"/>
              <w:marTop w:val="0"/>
              <w:marBottom w:val="0"/>
              <w:divBdr>
                <w:top w:val="none" w:sz="0" w:space="0" w:color="auto"/>
                <w:left w:val="none" w:sz="0" w:space="0" w:color="auto"/>
                <w:bottom w:val="none" w:sz="0" w:space="0" w:color="auto"/>
                <w:right w:val="none" w:sz="0" w:space="0" w:color="auto"/>
              </w:divBdr>
              <w:divsChild>
                <w:div w:id="31557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05651">
      <w:bodyDiv w:val="1"/>
      <w:marLeft w:val="0"/>
      <w:marRight w:val="0"/>
      <w:marTop w:val="0"/>
      <w:marBottom w:val="0"/>
      <w:divBdr>
        <w:top w:val="none" w:sz="0" w:space="0" w:color="auto"/>
        <w:left w:val="none" w:sz="0" w:space="0" w:color="auto"/>
        <w:bottom w:val="none" w:sz="0" w:space="0" w:color="auto"/>
        <w:right w:val="none" w:sz="0" w:space="0" w:color="auto"/>
      </w:divBdr>
      <w:divsChild>
        <w:div w:id="1844472214">
          <w:marLeft w:val="0"/>
          <w:marRight w:val="0"/>
          <w:marTop w:val="0"/>
          <w:marBottom w:val="0"/>
          <w:divBdr>
            <w:top w:val="none" w:sz="0" w:space="0" w:color="auto"/>
            <w:left w:val="none" w:sz="0" w:space="0" w:color="auto"/>
            <w:bottom w:val="none" w:sz="0" w:space="0" w:color="auto"/>
            <w:right w:val="none" w:sz="0" w:space="0" w:color="auto"/>
          </w:divBdr>
          <w:divsChild>
            <w:div w:id="626014575">
              <w:marLeft w:val="0"/>
              <w:marRight w:val="0"/>
              <w:marTop w:val="0"/>
              <w:marBottom w:val="0"/>
              <w:divBdr>
                <w:top w:val="none" w:sz="0" w:space="0" w:color="auto"/>
                <w:left w:val="none" w:sz="0" w:space="0" w:color="auto"/>
                <w:bottom w:val="none" w:sz="0" w:space="0" w:color="auto"/>
                <w:right w:val="none" w:sz="0" w:space="0" w:color="auto"/>
              </w:divBdr>
              <w:divsChild>
                <w:div w:id="28593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00183">
      <w:bodyDiv w:val="1"/>
      <w:marLeft w:val="0"/>
      <w:marRight w:val="0"/>
      <w:marTop w:val="0"/>
      <w:marBottom w:val="0"/>
      <w:divBdr>
        <w:top w:val="none" w:sz="0" w:space="0" w:color="auto"/>
        <w:left w:val="none" w:sz="0" w:space="0" w:color="auto"/>
        <w:bottom w:val="none" w:sz="0" w:space="0" w:color="auto"/>
        <w:right w:val="none" w:sz="0" w:space="0" w:color="auto"/>
      </w:divBdr>
      <w:divsChild>
        <w:div w:id="747463185">
          <w:marLeft w:val="0"/>
          <w:marRight w:val="0"/>
          <w:marTop w:val="0"/>
          <w:marBottom w:val="0"/>
          <w:divBdr>
            <w:top w:val="none" w:sz="0" w:space="0" w:color="auto"/>
            <w:left w:val="none" w:sz="0" w:space="0" w:color="auto"/>
            <w:bottom w:val="none" w:sz="0" w:space="0" w:color="auto"/>
            <w:right w:val="none" w:sz="0" w:space="0" w:color="auto"/>
          </w:divBdr>
          <w:divsChild>
            <w:div w:id="558396111">
              <w:marLeft w:val="0"/>
              <w:marRight w:val="0"/>
              <w:marTop w:val="0"/>
              <w:marBottom w:val="0"/>
              <w:divBdr>
                <w:top w:val="none" w:sz="0" w:space="0" w:color="auto"/>
                <w:left w:val="none" w:sz="0" w:space="0" w:color="auto"/>
                <w:bottom w:val="none" w:sz="0" w:space="0" w:color="auto"/>
                <w:right w:val="none" w:sz="0" w:space="0" w:color="auto"/>
              </w:divBdr>
              <w:divsChild>
                <w:div w:id="8060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66350">
      <w:bodyDiv w:val="1"/>
      <w:marLeft w:val="0"/>
      <w:marRight w:val="0"/>
      <w:marTop w:val="0"/>
      <w:marBottom w:val="0"/>
      <w:divBdr>
        <w:top w:val="none" w:sz="0" w:space="0" w:color="auto"/>
        <w:left w:val="none" w:sz="0" w:space="0" w:color="auto"/>
        <w:bottom w:val="none" w:sz="0" w:space="0" w:color="auto"/>
        <w:right w:val="none" w:sz="0" w:space="0" w:color="auto"/>
      </w:divBdr>
      <w:divsChild>
        <w:div w:id="602495631">
          <w:marLeft w:val="0"/>
          <w:marRight w:val="0"/>
          <w:marTop w:val="0"/>
          <w:marBottom w:val="0"/>
          <w:divBdr>
            <w:top w:val="none" w:sz="0" w:space="0" w:color="auto"/>
            <w:left w:val="none" w:sz="0" w:space="0" w:color="auto"/>
            <w:bottom w:val="none" w:sz="0" w:space="0" w:color="auto"/>
            <w:right w:val="none" w:sz="0" w:space="0" w:color="auto"/>
          </w:divBdr>
          <w:divsChild>
            <w:div w:id="2101564559">
              <w:marLeft w:val="0"/>
              <w:marRight w:val="0"/>
              <w:marTop w:val="0"/>
              <w:marBottom w:val="0"/>
              <w:divBdr>
                <w:top w:val="none" w:sz="0" w:space="0" w:color="auto"/>
                <w:left w:val="none" w:sz="0" w:space="0" w:color="auto"/>
                <w:bottom w:val="none" w:sz="0" w:space="0" w:color="auto"/>
                <w:right w:val="none" w:sz="0" w:space="0" w:color="auto"/>
              </w:divBdr>
              <w:divsChild>
                <w:div w:id="9963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65592">
      <w:bodyDiv w:val="1"/>
      <w:marLeft w:val="0"/>
      <w:marRight w:val="0"/>
      <w:marTop w:val="0"/>
      <w:marBottom w:val="0"/>
      <w:divBdr>
        <w:top w:val="none" w:sz="0" w:space="0" w:color="auto"/>
        <w:left w:val="none" w:sz="0" w:space="0" w:color="auto"/>
        <w:bottom w:val="none" w:sz="0" w:space="0" w:color="auto"/>
        <w:right w:val="none" w:sz="0" w:space="0" w:color="auto"/>
      </w:divBdr>
      <w:divsChild>
        <w:div w:id="1139764170">
          <w:marLeft w:val="0"/>
          <w:marRight w:val="0"/>
          <w:marTop w:val="0"/>
          <w:marBottom w:val="0"/>
          <w:divBdr>
            <w:top w:val="none" w:sz="0" w:space="0" w:color="auto"/>
            <w:left w:val="none" w:sz="0" w:space="0" w:color="auto"/>
            <w:bottom w:val="none" w:sz="0" w:space="0" w:color="auto"/>
            <w:right w:val="none" w:sz="0" w:space="0" w:color="auto"/>
          </w:divBdr>
          <w:divsChild>
            <w:div w:id="45109265">
              <w:marLeft w:val="0"/>
              <w:marRight w:val="0"/>
              <w:marTop w:val="0"/>
              <w:marBottom w:val="0"/>
              <w:divBdr>
                <w:top w:val="none" w:sz="0" w:space="0" w:color="auto"/>
                <w:left w:val="none" w:sz="0" w:space="0" w:color="auto"/>
                <w:bottom w:val="none" w:sz="0" w:space="0" w:color="auto"/>
                <w:right w:val="none" w:sz="0" w:space="0" w:color="auto"/>
              </w:divBdr>
              <w:divsChild>
                <w:div w:id="1714381200">
                  <w:marLeft w:val="0"/>
                  <w:marRight w:val="0"/>
                  <w:marTop w:val="0"/>
                  <w:marBottom w:val="0"/>
                  <w:divBdr>
                    <w:top w:val="none" w:sz="0" w:space="0" w:color="auto"/>
                    <w:left w:val="none" w:sz="0" w:space="0" w:color="auto"/>
                    <w:bottom w:val="none" w:sz="0" w:space="0" w:color="auto"/>
                    <w:right w:val="none" w:sz="0" w:space="0" w:color="auto"/>
                  </w:divBdr>
                  <w:divsChild>
                    <w:div w:id="3710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355908">
      <w:bodyDiv w:val="1"/>
      <w:marLeft w:val="0"/>
      <w:marRight w:val="0"/>
      <w:marTop w:val="0"/>
      <w:marBottom w:val="0"/>
      <w:divBdr>
        <w:top w:val="none" w:sz="0" w:space="0" w:color="auto"/>
        <w:left w:val="none" w:sz="0" w:space="0" w:color="auto"/>
        <w:bottom w:val="none" w:sz="0" w:space="0" w:color="auto"/>
        <w:right w:val="none" w:sz="0" w:space="0" w:color="auto"/>
      </w:divBdr>
      <w:divsChild>
        <w:div w:id="757675714">
          <w:marLeft w:val="0"/>
          <w:marRight w:val="0"/>
          <w:marTop w:val="0"/>
          <w:marBottom w:val="0"/>
          <w:divBdr>
            <w:top w:val="none" w:sz="0" w:space="0" w:color="auto"/>
            <w:left w:val="none" w:sz="0" w:space="0" w:color="auto"/>
            <w:bottom w:val="none" w:sz="0" w:space="0" w:color="auto"/>
            <w:right w:val="none" w:sz="0" w:space="0" w:color="auto"/>
          </w:divBdr>
          <w:divsChild>
            <w:div w:id="1605573465">
              <w:marLeft w:val="0"/>
              <w:marRight w:val="0"/>
              <w:marTop w:val="0"/>
              <w:marBottom w:val="0"/>
              <w:divBdr>
                <w:top w:val="none" w:sz="0" w:space="0" w:color="auto"/>
                <w:left w:val="none" w:sz="0" w:space="0" w:color="auto"/>
                <w:bottom w:val="none" w:sz="0" w:space="0" w:color="auto"/>
                <w:right w:val="none" w:sz="0" w:space="0" w:color="auto"/>
              </w:divBdr>
              <w:divsChild>
                <w:div w:id="95590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562767">
      <w:bodyDiv w:val="1"/>
      <w:marLeft w:val="0"/>
      <w:marRight w:val="0"/>
      <w:marTop w:val="0"/>
      <w:marBottom w:val="0"/>
      <w:divBdr>
        <w:top w:val="none" w:sz="0" w:space="0" w:color="auto"/>
        <w:left w:val="none" w:sz="0" w:space="0" w:color="auto"/>
        <w:bottom w:val="none" w:sz="0" w:space="0" w:color="auto"/>
        <w:right w:val="none" w:sz="0" w:space="0" w:color="auto"/>
      </w:divBdr>
      <w:divsChild>
        <w:div w:id="816998689">
          <w:marLeft w:val="0"/>
          <w:marRight w:val="0"/>
          <w:marTop w:val="0"/>
          <w:marBottom w:val="0"/>
          <w:divBdr>
            <w:top w:val="none" w:sz="0" w:space="0" w:color="auto"/>
            <w:left w:val="none" w:sz="0" w:space="0" w:color="auto"/>
            <w:bottom w:val="none" w:sz="0" w:space="0" w:color="auto"/>
            <w:right w:val="none" w:sz="0" w:space="0" w:color="auto"/>
          </w:divBdr>
          <w:divsChild>
            <w:div w:id="299651379">
              <w:marLeft w:val="0"/>
              <w:marRight w:val="0"/>
              <w:marTop w:val="0"/>
              <w:marBottom w:val="0"/>
              <w:divBdr>
                <w:top w:val="none" w:sz="0" w:space="0" w:color="auto"/>
                <w:left w:val="none" w:sz="0" w:space="0" w:color="auto"/>
                <w:bottom w:val="none" w:sz="0" w:space="0" w:color="auto"/>
                <w:right w:val="none" w:sz="0" w:space="0" w:color="auto"/>
              </w:divBdr>
              <w:divsChild>
                <w:div w:id="2417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3603">
      <w:bodyDiv w:val="1"/>
      <w:marLeft w:val="0"/>
      <w:marRight w:val="0"/>
      <w:marTop w:val="0"/>
      <w:marBottom w:val="0"/>
      <w:divBdr>
        <w:top w:val="none" w:sz="0" w:space="0" w:color="auto"/>
        <w:left w:val="none" w:sz="0" w:space="0" w:color="auto"/>
        <w:bottom w:val="none" w:sz="0" w:space="0" w:color="auto"/>
        <w:right w:val="none" w:sz="0" w:space="0" w:color="auto"/>
      </w:divBdr>
      <w:divsChild>
        <w:div w:id="1856531472">
          <w:marLeft w:val="0"/>
          <w:marRight w:val="0"/>
          <w:marTop w:val="0"/>
          <w:marBottom w:val="0"/>
          <w:divBdr>
            <w:top w:val="none" w:sz="0" w:space="0" w:color="auto"/>
            <w:left w:val="none" w:sz="0" w:space="0" w:color="auto"/>
            <w:bottom w:val="none" w:sz="0" w:space="0" w:color="auto"/>
            <w:right w:val="none" w:sz="0" w:space="0" w:color="auto"/>
          </w:divBdr>
          <w:divsChild>
            <w:div w:id="801315558">
              <w:marLeft w:val="0"/>
              <w:marRight w:val="0"/>
              <w:marTop w:val="0"/>
              <w:marBottom w:val="0"/>
              <w:divBdr>
                <w:top w:val="none" w:sz="0" w:space="0" w:color="auto"/>
                <w:left w:val="none" w:sz="0" w:space="0" w:color="auto"/>
                <w:bottom w:val="none" w:sz="0" w:space="0" w:color="auto"/>
                <w:right w:val="none" w:sz="0" w:space="0" w:color="auto"/>
              </w:divBdr>
              <w:divsChild>
                <w:div w:id="1768039674">
                  <w:marLeft w:val="0"/>
                  <w:marRight w:val="0"/>
                  <w:marTop w:val="0"/>
                  <w:marBottom w:val="0"/>
                  <w:divBdr>
                    <w:top w:val="none" w:sz="0" w:space="0" w:color="auto"/>
                    <w:left w:val="none" w:sz="0" w:space="0" w:color="auto"/>
                    <w:bottom w:val="none" w:sz="0" w:space="0" w:color="auto"/>
                    <w:right w:val="none" w:sz="0" w:space="0" w:color="auto"/>
                  </w:divBdr>
                  <w:divsChild>
                    <w:div w:id="1171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97802">
      <w:bodyDiv w:val="1"/>
      <w:marLeft w:val="0"/>
      <w:marRight w:val="0"/>
      <w:marTop w:val="0"/>
      <w:marBottom w:val="0"/>
      <w:divBdr>
        <w:top w:val="none" w:sz="0" w:space="0" w:color="auto"/>
        <w:left w:val="none" w:sz="0" w:space="0" w:color="auto"/>
        <w:bottom w:val="none" w:sz="0" w:space="0" w:color="auto"/>
        <w:right w:val="none" w:sz="0" w:space="0" w:color="auto"/>
      </w:divBdr>
      <w:divsChild>
        <w:div w:id="1156650868">
          <w:marLeft w:val="0"/>
          <w:marRight w:val="0"/>
          <w:marTop w:val="0"/>
          <w:marBottom w:val="0"/>
          <w:divBdr>
            <w:top w:val="none" w:sz="0" w:space="0" w:color="auto"/>
            <w:left w:val="none" w:sz="0" w:space="0" w:color="auto"/>
            <w:bottom w:val="none" w:sz="0" w:space="0" w:color="auto"/>
            <w:right w:val="none" w:sz="0" w:space="0" w:color="auto"/>
          </w:divBdr>
          <w:divsChild>
            <w:div w:id="2143574918">
              <w:marLeft w:val="0"/>
              <w:marRight w:val="0"/>
              <w:marTop w:val="0"/>
              <w:marBottom w:val="0"/>
              <w:divBdr>
                <w:top w:val="none" w:sz="0" w:space="0" w:color="auto"/>
                <w:left w:val="none" w:sz="0" w:space="0" w:color="auto"/>
                <w:bottom w:val="none" w:sz="0" w:space="0" w:color="auto"/>
                <w:right w:val="none" w:sz="0" w:space="0" w:color="auto"/>
              </w:divBdr>
              <w:divsChild>
                <w:div w:id="123917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7373">
      <w:bodyDiv w:val="1"/>
      <w:marLeft w:val="0"/>
      <w:marRight w:val="0"/>
      <w:marTop w:val="0"/>
      <w:marBottom w:val="0"/>
      <w:divBdr>
        <w:top w:val="none" w:sz="0" w:space="0" w:color="auto"/>
        <w:left w:val="none" w:sz="0" w:space="0" w:color="auto"/>
        <w:bottom w:val="none" w:sz="0" w:space="0" w:color="auto"/>
        <w:right w:val="none" w:sz="0" w:space="0" w:color="auto"/>
      </w:divBdr>
      <w:divsChild>
        <w:div w:id="2121484148">
          <w:marLeft w:val="0"/>
          <w:marRight w:val="0"/>
          <w:marTop w:val="0"/>
          <w:marBottom w:val="0"/>
          <w:divBdr>
            <w:top w:val="none" w:sz="0" w:space="0" w:color="auto"/>
            <w:left w:val="none" w:sz="0" w:space="0" w:color="auto"/>
            <w:bottom w:val="none" w:sz="0" w:space="0" w:color="auto"/>
            <w:right w:val="none" w:sz="0" w:space="0" w:color="auto"/>
          </w:divBdr>
          <w:divsChild>
            <w:div w:id="132331654">
              <w:marLeft w:val="0"/>
              <w:marRight w:val="0"/>
              <w:marTop w:val="0"/>
              <w:marBottom w:val="0"/>
              <w:divBdr>
                <w:top w:val="none" w:sz="0" w:space="0" w:color="auto"/>
                <w:left w:val="none" w:sz="0" w:space="0" w:color="auto"/>
                <w:bottom w:val="none" w:sz="0" w:space="0" w:color="auto"/>
                <w:right w:val="none" w:sz="0" w:space="0" w:color="auto"/>
              </w:divBdr>
              <w:divsChild>
                <w:div w:id="7671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83456">
      <w:bodyDiv w:val="1"/>
      <w:marLeft w:val="0"/>
      <w:marRight w:val="0"/>
      <w:marTop w:val="0"/>
      <w:marBottom w:val="0"/>
      <w:divBdr>
        <w:top w:val="none" w:sz="0" w:space="0" w:color="auto"/>
        <w:left w:val="none" w:sz="0" w:space="0" w:color="auto"/>
        <w:bottom w:val="none" w:sz="0" w:space="0" w:color="auto"/>
        <w:right w:val="none" w:sz="0" w:space="0" w:color="auto"/>
      </w:divBdr>
      <w:divsChild>
        <w:div w:id="99685749">
          <w:marLeft w:val="0"/>
          <w:marRight w:val="0"/>
          <w:marTop w:val="0"/>
          <w:marBottom w:val="0"/>
          <w:divBdr>
            <w:top w:val="none" w:sz="0" w:space="0" w:color="auto"/>
            <w:left w:val="none" w:sz="0" w:space="0" w:color="auto"/>
            <w:bottom w:val="none" w:sz="0" w:space="0" w:color="auto"/>
            <w:right w:val="none" w:sz="0" w:space="0" w:color="auto"/>
          </w:divBdr>
          <w:divsChild>
            <w:div w:id="291986232">
              <w:marLeft w:val="0"/>
              <w:marRight w:val="0"/>
              <w:marTop w:val="0"/>
              <w:marBottom w:val="0"/>
              <w:divBdr>
                <w:top w:val="none" w:sz="0" w:space="0" w:color="auto"/>
                <w:left w:val="none" w:sz="0" w:space="0" w:color="auto"/>
                <w:bottom w:val="none" w:sz="0" w:space="0" w:color="auto"/>
                <w:right w:val="none" w:sz="0" w:space="0" w:color="auto"/>
              </w:divBdr>
              <w:divsChild>
                <w:div w:id="19523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46668">
      <w:bodyDiv w:val="1"/>
      <w:marLeft w:val="0"/>
      <w:marRight w:val="0"/>
      <w:marTop w:val="0"/>
      <w:marBottom w:val="0"/>
      <w:divBdr>
        <w:top w:val="none" w:sz="0" w:space="0" w:color="auto"/>
        <w:left w:val="none" w:sz="0" w:space="0" w:color="auto"/>
        <w:bottom w:val="none" w:sz="0" w:space="0" w:color="auto"/>
        <w:right w:val="none" w:sz="0" w:space="0" w:color="auto"/>
      </w:divBdr>
      <w:divsChild>
        <w:div w:id="2147045733">
          <w:marLeft w:val="0"/>
          <w:marRight w:val="0"/>
          <w:marTop w:val="0"/>
          <w:marBottom w:val="0"/>
          <w:divBdr>
            <w:top w:val="none" w:sz="0" w:space="0" w:color="auto"/>
            <w:left w:val="none" w:sz="0" w:space="0" w:color="auto"/>
            <w:bottom w:val="none" w:sz="0" w:space="0" w:color="auto"/>
            <w:right w:val="none" w:sz="0" w:space="0" w:color="auto"/>
          </w:divBdr>
          <w:divsChild>
            <w:div w:id="1106117052">
              <w:marLeft w:val="0"/>
              <w:marRight w:val="0"/>
              <w:marTop w:val="0"/>
              <w:marBottom w:val="0"/>
              <w:divBdr>
                <w:top w:val="none" w:sz="0" w:space="0" w:color="auto"/>
                <w:left w:val="none" w:sz="0" w:space="0" w:color="auto"/>
                <w:bottom w:val="none" w:sz="0" w:space="0" w:color="auto"/>
                <w:right w:val="none" w:sz="0" w:space="0" w:color="auto"/>
              </w:divBdr>
              <w:divsChild>
                <w:div w:id="18918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8079">
      <w:bodyDiv w:val="1"/>
      <w:marLeft w:val="0"/>
      <w:marRight w:val="0"/>
      <w:marTop w:val="0"/>
      <w:marBottom w:val="0"/>
      <w:divBdr>
        <w:top w:val="none" w:sz="0" w:space="0" w:color="auto"/>
        <w:left w:val="none" w:sz="0" w:space="0" w:color="auto"/>
        <w:bottom w:val="none" w:sz="0" w:space="0" w:color="auto"/>
        <w:right w:val="none" w:sz="0" w:space="0" w:color="auto"/>
      </w:divBdr>
      <w:divsChild>
        <w:div w:id="1343624585">
          <w:marLeft w:val="0"/>
          <w:marRight w:val="0"/>
          <w:marTop w:val="0"/>
          <w:marBottom w:val="0"/>
          <w:divBdr>
            <w:top w:val="none" w:sz="0" w:space="0" w:color="auto"/>
            <w:left w:val="none" w:sz="0" w:space="0" w:color="auto"/>
            <w:bottom w:val="none" w:sz="0" w:space="0" w:color="auto"/>
            <w:right w:val="none" w:sz="0" w:space="0" w:color="auto"/>
          </w:divBdr>
          <w:divsChild>
            <w:div w:id="332606059">
              <w:marLeft w:val="0"/>
              <w:marRight w:val="0"/>
              <w:marTop w:val="0"/>
              <w:marBottom w:val="0"/>
              <w:divBdr>
                <w:top w:val="none" w:sz="0" w:space="0" w:color="auto"/>
                <w:left w:val="none" w:sz="0" w:space="0" w:color="auto"/>
                <w:bottom w:val="none" w:sz="0" w:space="0" w:color="auto"/>
                <w:right w:val="none" w:sz="0" w:space="0" w:color="auto"/>
              </w:divBdr>
              <w:divsChild>
                <w:div w:id="212549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72158">
      <w:bodyDiv w:val="1"/>
      <w:marLeft w:val="0"/>
      <w:marRight w:val="0"/>
      <w:marTop w:val="0"/>
      <w:marBottom w:val="0"/>
      <w:divBdr>
        <w:top w:val="none" w:sz="0" w:space="0" w:color="auto"/>
        <w:left w:val="none" w:sz="0" w:space="0" w:color="auto"/>
        <w:bottom w:val="none" w:sz="0" w:space="0" w:color="auto"/>
        <w:right w:val="none" w:sz="0" w:space="0" w:color="auto"/>
      </w:divBdr>
      <w:divsChild>
        <w:div w:id="422845183">
          <w:marLeft w:val="0"/>
          <w:marRight w:val="0"/>
          <w:marTop w:val="0"/>
          <w:marBottom w:val="0"/>
          <w:divBdr>
            <w:top w:val="none" w:sz="0" w:space="0" w:color="auto"/>
            <w:left w:val="none" w:sz="0" w:space="0" w:color="auto"/>
            <w:bottom w:val="none" w:sz="0" w:space="0" w:color="auto"/>
            <w:right w:val="none" w:sz="0" w:space="0" w:color="auto"/>
          </w:divBdr>
          <w:divsChild>
            <w:div w:id="337078673">
              <w:marLeft w:val="0"/>
              <w:marRight w:val="0"/>
              <w:marTop w:val="0"/>
              <w:marBottom w:val="0"/>
              <w:divBdr>
                <w:top w:val="none" w:sz="0" w:space="0" w:color="auto"/>
                <w:left w:val="none" w:sz="0" w:space="0" w:color="auto"/>
                <w:bottom w:val="none" w:sz="0" w:space="0" w:color="auto"/>
                <w:right w:val="none" w:sz="0" w:space="0" w:color="auto"/>
              </w:divBdr>
              <w:divsChild>
                <w:div w:id="206859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91893">
      <w:bodyDiv w:val="1"/>
      <w:marLeft w:val="0"/>
      <w:marRight w:val="0"/>
      <w:marTop w:val="0"/>
      <w:marBottom w:val="0"/>
      <w:divBdr>
        <w:top w:val="none" w:sz="0" w:space="0" w:color="auto"/>
        <w:left w:val="none" w:sz="0" w:space="0" w:color="auto"/>
        <w:bottom w:val="none" w:sz="0" w:space="0" w:color="auto"/>
        <w:right w:val="none" w:sz="0" w:space="0" w:color="auto"/>
      </w:divBdr>
      <w:divsChild>
        <w:div w:id="2142115750">
          <w:marLeft w:val="0"/>
          <w:marRight w:val="0"/>
          <w:marTop w:val="0"/>
          <w:marBottom w:val="0"/>
          <w:divBdr>
            <w:top w:val="none" w:sz="0" w:space="0" w:color="auto"/>
            <w:left w:val="none" w:sz="0" w:space="0" w:color="auto"/>
            <w:bottom w:val="none" w:sz="0" w:space="0" w:color="auto"/>
            <w:right w:val="none" w:sz="0" w:space="0" w:color="auto"/>
          </w:divBdr>
        </w:div>
      </w:divsChild>
    </w:div>
    <w:div w:id="1116875212">
      <w:bodyDiv w:val="1"/>
      <w:marLeft w:val="0"/>
      <w:marRight w:val="0"/>
      <w:marTop w:val="0"/>
      <w:marBottom w:val="0"/>
      <w:divBdr>
        <w:top w:val="none" w:sz="0" w:space="0" w:color="auto"/>
        <w:left w:val="none" w:sz="0" w:space="0" w:color="auto"/>
        <w:bottom w:val="none" w:sz="0" w:space="0" w:color="auto"/>
        <w:right w:val="none" w:sz="0" w:space="0" w:color="auto"/>
      </w:divBdr>
      <w:divsChild>
        <w:div w:id="1478257420">
          <w:marLeft w:val="0"/>
          <w:marRight w:val="0"/>
          <w:marTop w:val="0"/>
          <w:marBottom w:val="0"/>
          <w:divBdr>
            <w:top w:val="none" w:sz="0" w:space="0" w:color="auto"/>
            <w:left w:val="none" w:sz="0" w:space="0" w:color="auto"/>
            <w:bottom w:val="none" w:sz="0" w:space="0" w:color="auto"/>
            <w:right w:val="none" w:sz="0" w:space="0" w:color="auto"/>
          </w:divBdr>
          <w:divsChild>
            <w:div w:id="890657847">
              <w:marLeft w:val="0"/>
              <w:marRight w:val="0"/>
              <w:marTop w:val="0"/>
              <w:marBottom w:val="0"/>
              <w:divBdr>
                <w:top w:val="none" w:sz="0" w:space="0" w:color="auto"/>
                <w:left w:val="none" w:sz="0" w:space="0" w:color="auto"/>
                <w:bottom w:val="none" w:sz="0" w:space="0" w:color="auto"/>
                <w:right w:val="none" w:sz="0" w:space="0" w:color="auto"/>
              </w:divBdr>
              <w:divsChild>
                <w:div w:id="163239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128491">
      <w:bodyDiv w:val="1"/>
      <w:marLeft w:val="0"/>
      <w:marRight w:val="0"/>
      <w:marTop w:val="0"/>
      <w:marBottom w:val="0"/>
      <w:divBdr>
        <w:top w:val="none" w:sz="0" w:space="0" w:color="auto"/>
        <w:left w:val="none" w:sz="0" w:space="0" w:color="auto"/>
        <w:bottom w:val="none" w:sz="0" w:space="0" w:color="auto"/>
        <w:right w:val="none" w:sz="0" w:space="0" w:color="auto"/>
      </w:divBdr>
      <w:divsChild>
        <w:div w:id="461194066">
          <w:marLeft w:val="0"/>
          <w:marRight w:val="0"/>
          <w:marTop w:val="0"/>
          <w:marBottom w:val="0"/>
          <w:divBdr>
            <w:top w:val="none" w:sz="0" w:space="0" w:color="auto"/>
            <w:left w:val="none" w:sz="0" w:space="0" w:color="auto"/>
            <w:bottom w:val="none" w:sz="0" w:space="0" w:color="auto"/>
            <w:right w:val="none" w:sz="0" w:space="0" w:color="auto"/>
          </w:divBdr>
          <w:divsChild>
            <w:div w:id="1514109381">
              <w:marLeft w:val="0"/>
              <w:marRight w:val="0"/>
              <w:marTop w:val="0"/>
              <w:marBottom w:val="0"/>
              <w:divBdr>
                <w:top w:val="none" w:sz="0" w:space="0" w:color="auto"/>
                <w:left w:val="none" w:sz="0" w:space="0" w:color="auto"/>
                <w:bottom w:val="none" w:sz="0" w:space="0" w:color="auto"/>
                <w:right w:val="none" w:sz="0" w:space="0" w:color="auto"/>
              </w:divBdr>
              <w:divsChild>
                <w:div w:id="79059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138183">
      <w:bodyDiv w:val="1"/>
      <w:marLeft w:val="0"/>
      <w:marRight w:val="0"/>
      <w:marTop w:val="0"/>
      <w:marBottom w:val="0"/>
      <w:divBdr>
        <w:top w:val="none" w:sz="0" w:space="0" w:color="auto"/>
        <w:left w:val="none" w:sz="0" w:space="0" w:color="auto"/>
        <w:bottom w:val="none" w:sz="0" w:space="0" w:color="auto"/>
        <w:right w:val="none" w:sz="0" w:space="0" w:color="auto"/>
      </w:divBdr>
      <w:divsChild>
        <w:div w:id="1197736702">
          <w:marLeft w:val="0"/>
          <w:marRight w:val="0"/>
          <w:marTop w:val="0"/>
          <w:marBottom w:val="0"/>
          <w:divBdr>
            <w:top w:val="none" w:sz="0" w:space="0" w:color="auto"/>
            <w:left w:val="none" w:sz="0" w:space="0" w:color="auto"/>
            <w:bottom w:val="none" w:sz="0" w:space="0" w:color="auto"/>
            <w:right w:val="none" w:sz="0" w:space="0" w:color="auto"/>
          </w:divBdr>
          <w:divsChild>
            <w:div w:id="750782336">
              <w:marLeft w:val="0"/>
              <w:marRight w:val="0"/>
              <w:marTop w:val="0"/>
              <w:marBottom w:val="0"/>
              <w:divBdr>
                <w:top w:val="none" w:sz="0" w:space="0" w:color="auto"/>
                <w:left w:val="none" w:sz="0" w:space="0" w:color="auto"/>
                <w:bottom w:val="none" w:sz="0" w:space="0" w:color="auto"/>
                <w:right w:val="none" w:sz="0" w:space="0" w:color="auto"/>
              </w:divBdr>
              <w:divsChild>
                <w:div w:id="67627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24999">
      <w:bodyDiv w:val="1"/>
      <w:marLeft w:val="0"/>
      <w:marRight w:val="0"/>
      <w:marTop w:val="0"/>
      <w:marBottom w:val="0"/>
      <w:divBdr>
        <w:top w:val="none" w:sz="0" w:space="0" w:color="auto"/>
        <w:left w:val="none" w:sz="0" w:space="0" w:color="auto"/>
        <w:bottom w:val="none" w:sz="0" w:space="0" w:color="auto"/>
        <w:right w:val="none" w:sz="0" w:space="0" w:color="auto"/>
      </w:divBdr>
      <w:divsChild>
        <w:div w:id="1398553052">
          <w:marLeft w:val="0"/>
          <w:marRight w:val="0"/>
          <w:marTop w:val="0"/>
          <w:marBottom w:val="0"/>
          <w:divBdr>
            <w:top w:val="none" w:sz="0" w:space="0" w:color="auto"/>
            <w:left w:val="none" w:sz="0" w:space="0" w:color="auto"/>
            <w:bottom w:val="none" w:sz="0" w:space="0" w:color="auto"/>
            <w:right w:val="none" w:sz="0" w:space="0" w:color="auto"/>
          </w:divBdr>
          <w:divsChild>
            <w:div w:id="703751361">
              <w:marLeft w:val="0"/>
              <w:marRight w:val="0"/>
              <w:marTop w:val="0"/>
              <w:marBottom w:val="0"/>
              <w:divBdr>
                <w:top w:val="none" w:sz="0" w:space="0" w:color="auto"/>
                <w:left w:val="none" w:sz="0" w:space="0" w:color="auto"/>
                <w:bottom w:val="none" w:sz="0" w:space="0" w:color="auto"/>
                <w:right w:val="none" w:sz="0" w:space="0" w:color="auto"/>
              </w:divBdr>
              <w:divsChild>
                <w:div w:id="13953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22952">
      <w:bodyDiv w:val="1"/>
      <w:marLeft w:val="0"/>
      <w:marRight w:val="0"/>
      <w:marTop w:val="0"/>
      <w:marBottom w:val="0"/>
      <w:divBdr>
        <w:top w:val="none" w:sz="0" w:space="0" w:color="auto"/>
        <w:left w:val="none" w:sz="0" w:space="0" w:color="auto"/>
        <w:bottom w:val="none" w:sz="0" w:space="0" w:color="auto"/>
        <w:right w:val="none" w:sz="0" w:space="0" w:color="auto"/>
      </w:divBdr>
      <w:divsChild>
        <w:div w:id="2035036312">
          <w:marLeft w:val="0"/>
          <w:marRight w:val="0"/>
          <w:marTop w:val="0"/>
          <w:marBottom w:val="0"/>
          <w:divBdr>
            <w:top w:val="none" w:sz="0" w:space="0" w:color="auto"/>
            <w:left w:val="none" w:sz="0" w:space="0" w:color="auto"/>
            <w:bottom w:val="none" w:sz="0" w:space="0" w:color="auto"/>
            <w:right w:val="none" w:sz="0" w:space="0" w:color="auto"/>
          </w:divBdr>
          <w:divsChild>
            <w:div w:id="163472968">
              <w:marLeft w:val="0"/>
              <w:marRight w:val="0"/>
              <w:marTop w:val="0"/>
              <w:marBottom w:val="0"/>
              <w:divBdr>
                <w:top w:val="none" w:sz="0" w:space="0" w:color="auto"/>
                <w:left w:val="none" w:sz="0" w:space="0" w:color="auto"/>
                <w:bottom w:val="none" w:sz="0" w:space="0" w:color="auto"/>
                <w:right w:val="none" w:sz="0" w:space="0" w:color="auto"/>
              </w:divBdr>
              <w:divsChild>
                <w:div w:id="10096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965623">
      <w:bodyDiv w:val="1"/>
      <w:marLeft w:val="0"/>
      <w:marRight w:val="0"/>
      <w:marTop w:val="0"/>
      <w:marBottom w:val="0"/>
      <w:divBdr>
        <w:top w:val="none" w:sz="0" w:space="0" w:color="auto"/>
        <w:left w:val="none" w:sz="0" w:space="0" w:color="auto"/>
        <w:bottom w:val="none" w:sz="0" w:space="0" w:color="auto"/>
        <w:right w:val="none" w:sz="0" w:space="0" w:color="auto"/>
      </w:divBdr>
      <w:divsChild>
        <w:div w:id="1120683685">
          <w:marLeft w:val="0"/>
          <w:marRight w:val="0"/>
          <w:marTop w:val="0"/>
          <w:marBottom w:val="0"/>
          <w:divBdr>
            <w:top w:val="none" w:sz="0" w:space="0" w:color="auto"/>
            <w:left w:val="none" w:sz="0" w:space="0" w:color="auto"/>
            <w:bottom w:val="none" w:sz="0" w:space="0" w:color="auto"/>
            <w:right w:val="none" w:sz="0" w:space="0" w:color="auto"/>
          </w:divBdr>
          <w:divsChild>
            <w:div w:id="1357922076">
              <w:marLeft w:val="0"/>
              <w:marRight w:val="0"/>
              <w:marTop w:val="0"/>
              <w:marBottom w:val="0"/>
              <w:divBdr>
                <w:top w:val="none" w:sz="0" w:space="0" w:color="auto"/>
                <w:left w:val="none" w:sz="0" w:space="0" w:color="auto"/>
                <w:bottom w:val="none" w:sz="0" w:space="0" w:color="auto"/>
                <w:right w:val="none" w:sz="0" w:space="0" w:color="auto"/>
              </w:divBdr>
              <w:divsChild>
                <w:div w:id="11957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196993">
      <w:bodyDiv w:val="1"/>
      <w:marLeft w:val="0"/>
      <w:marRight w:val="0"/>
      <w:marTop w:val="0"/>
      <w:marBottom w:val="0"/>
      <w:divBdr>
        <w:top w:val="none" w:sz="0" w:space="0" w:color="auto"/>
        <w:left w:val="none" w:sz="0" w:space="0" w:color="auto"/>
        <w:bottom w:val="none" w:sz="0" w:space="0" w:color="auto"/>
        <w:right w:val="none" w:sz="0" w:space="0" w:color="auto"/>
      </w:divBdr>
      <w:divsChild>
        <w:div w:id="709188042">
          <w:marLeft w:val="0"/>
          <w:marRight w:val="0"/>
          <w:marTop w:val="0"/>
          <w:marBottom w:val="0"/>
          <w:divBdr>
            <w:top w:val="none" w:sz="0" w:space="0" w:color="auto"/>
            <w:left w:val="none" w:sz="0" w:space="0" w:color="auto"/>
            <w:bottom w:val="none" w:sz="0" w:space="0" w:color="auto"/>
            <w:right w:val="none" w:sz="0" w:space="0" w:color="auto"/>
          </w:divBdr>
          <w:divsChild>
            <w:div w:id="2116559508">
              <w:marLeft w:val="0"/>
              <w:marRight w:val="0"/>
              <w:marTop w:val="0"/>
              <w:marBottom w:val="0"/>
              <w:divBdr>
                <w:top w:val="none" w:sz="0" w:space="0" w:color="auto"/>
                <w:left w:val="none" w:sz="0" w:space="0" w:color="auto"/>
                <w:bottom w:val="none" w:sz="0" w:space="0" w:color="auto"/>
                <w:right w:val="none" w:sz="0" w:space="0" w:color="auto"/>
              </w:divBdr>
              <w:divsChild>
                <w:div w:id="104753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29711">
      <w:bodyDiv w:val="1"/>
      <w:marLeft w:val="0"/>
      <w:marRight w:val="0"/>
      <w:marTop w:val="0"/>
      <w:marBottom w:val="0"/>
      <w:divBdr>
        <w:top w:val="none" w:sz="0" w:space="0" w:color="auto"/>
        <w:left w:val="none" w:sz="0" w:space="0" w:color="auto"/>
        <w:bottom w:val="none" w:sz="0" w:space="0" w:color="auto"/>
        <w:right w:val="none" w:sz="0" w:space="0" w:color="auto"/>
      </w:divBdr>
      <w:divsChild>
        <w:div w:id="1100955214">
          <w:marLeft w:val="0"/>
          <w:marRight w:val="0"/>
          <w:marTop w:val="0"/>
          <w:marBottom w:val="0"/>
          <w:divBdr>
            <w:top w:val="none" w:sz="0" w:space="0" w:color="auto"/>
            <w:left w:val="none" w:sz="0" w:space="0" w:color="auto"/>
            <w:bottom w:val="none" w:sz="0" w:space="0" w:color="auto"/>
            <w:right w:val="none" w:sz="0" w:space="0" w:color="auto"/>
          </w:divBdr>
          <w:divsChild>
            <w:div w:id="488643224">
              <w:marLeft w:val="0"/>
              <w:marRight w:val="0"/>
              <w:marTop w:val="0"/>
              <w:marBottom w:val="0"/>
              <w:divBdr>
                <w:top w:val="none" w:sz="0" w:space="0" w:color="auto"/>
                <w:left w:val="none" w:sz="0" w:space="0" w:color="auto"/>
                <w:bottom w:val="none" w:sz="0" w:space="0" w:color="auto"/>
                <w:right w:val="none" w:sz="0" w:space="0" w:color="auto"/>
              </w:divBdr>
              <w:divsChild>
                <w:div w:id="572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743863">
      <w:bodyDiv w:val="1"/>
      <w:marLeft w:val="0"/>
      <w:marRight w:val="0"/>
      <w:marTop w:val="0"/>
      <w:marBottom w:val="0"/>
      <w:divBdr>
        <w:top w:val="none" w:sz="0" w:space="0" w:color="auto"/>
        <w:left w:val="none" w:sz="0" w:space="0" w:color="auto"/>
        <w:bottom w:val="none" w:sz="0" w:space="0" w:color="auto"/>
        <w:right w:val="none" w:sz="0" w:space="0" w:color="auto"/>
      </w:divBdr>
      <w:divsChild>
        <w:div w:id="379863223">
          <w:marLeft w:val="0"/>
          <w:marRight w:val="0"/>
          <w:marTop w:val="0"/>
          <w:marBottom w:val="0"/>
          <w:divBdr>
            <w:top w:val="none" w:sz="0" w:space="0" w:color="auto"/>
            <w:left w:val="none" w:sz="0" w:space="0" w:color="auto"/>
            <w:bottom w:val="none" w:sz="0" w:space="0" w:color="auto"/>
            <w:right w:val="none" w:sz="0" w:space="0" w:color="auto"/>
          </w:divBdr>
          <w:divsChild>
            <w:div w:id="1083644970">
              <w:marLeft w:val="0"/>
              <w:marRight w:val="0"/>
              <w:marTop w:val="0"/>
              <w:marBottom w:val="0"/>
              <w:divBdr>
                <w:top w:val="none" w:sz="0" w:space="0" w:color="auto"/>
                <w:left w:val="none" w:sz="0" w:space="0" w:color="auto"/>
                <w:bottom w:val="none" w:sz="0" w:space="0" w:color="auto"/>
                <w:right w:val="none" w:sz="0" w:space="0" w:color="auto"/>
              </w:divBdr>
              <w:divsChild>
                <w:div w:id="4126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9731">
      <w:bodyDiv w:val="1"/>
      <w:marLeft w:val="0"/>
      <w:marRight w:val="0"/>
      <w:marTop w:val="0"/>
      <w:marBottom w:val="0"/>
      <w:divBdr>
        <w:top w:val="none" w:sz="0" w:space="0" w:color="auto"/>
        <w:left w:val="none" w:sz="0" w:space="0" w:color="auto"/>
        <w:bottom w:val="none" w:sz="0" w:space="0" w:color="auto"/>
        <w:right w:val="none" w:sz="0" w:space="0" w:color="auto"/>
      </w:divBdr>
      <w:divsChild>
        <w:div w:id="1978145125">
          <w:marLeft w:val="0"/>
          <w:marRight w:val="0"/>
          <w:marTop w:val="0"/>
          <w:marBottom w:val="0"/>
          <w:divBdr>
            <w:top w:val="none" w:sz="0" w:space="0" w:color="auto"/>
            <w:left w:val="none" w:sz="0" w:space="0" w:color="auto"/>
            <w:bottom w:val="none" w:sz="0" w:space="0" w:color="auto"/>
            <w:right w:val="none" w:sz="0" w:space="0" w:color="auto"/>
          </w:divBdr>
          <w:divsChild>
            <w:div w:id="1617708858">
              <w:marLeft w:val="0"/>
              <w:marRight w:val="0"/>
              <w:marTop w:val="0"/>
              <w:marBottom w:val="0"/>
              <w:divBdr>
                <w:top w:val="none" w:sz="0" w:space="0" w:color="auto"/>
                <w:left w:val="none" w:sz="0" w:space="0" w:color="auto"/>
                <w:bottom w:val="none" w:sz="0" w:space="0" w:color="auto"/>
                <w:right w:val="none" w:sz="0" w:space="0" w:color="auto"/>
              </w:divBdr>
              <w:divsChild>
                <w:div w:id="293339268">
                  <w:marLeft w:val="0"/>
                  <w:marRight w:val="0"/>
                  <w:marTop w:val="0"/>
                  <w:marBottom w:val="0"/>
                  <w:divBdr>
                    <w:top w:val="none" w:sz="0" w:space="0" w:color="auto"/>
                    <w:left w:val="none" w:sz="0" w:space="0" w:color="auto"/>
                    <w:bottom w:val="none" w:sz="0" w:space="0" w:color="auto"/>
                    <w:right w:val="none" w:sz="0" w:space="0" w:color="auto"/>
                  </w:divBdr>
                </w:div>
              </w:divsChild>
            </w:div>
            <w:div w:id="954562535">
              <w:marLeft w:val="0"/>
              <w:marRight w:val="0"/>
              <w:marTop w:val="0"/>
              <w:marBottom w:val="0"/>
              <w:divBdr>
                <w:top w:val="none" w:sz="0" w:space="0" w:color="auto"/>
                <w:left w:val="none" w:sz="0" w:space="0" w:color="auto"/>
                <w:bottom w:val="none" w:sz="0" w:space="0" w:color="auto"/>
                <w:right w:val="none" w:sz="0" w:space="0" w:color="auto"/>
              </w:divBdr>
              <w:divsChild>
                <w:div w:id="3516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5085">
      <w:bodyDiv w:val="1"/>
      <w:marLeft w:val="0"/>
      <w:marRight w:val="0"/>
      <w:marTop w:val="0"/>
      <w:marBottom w:val="0"/>
      <w:divBdr>
        <w:top w:val="none" w:sz="0" w:space="0" w:color="auto"/>
        <w:left w:val="none" w:sz="0" w:space="0" w:color="auto"/>
        <w:bottom w:val="none" w:sz="0" w:space="0" w:color="auto"/>
        <w:right w:val="none" w:sz="0" w:space="0" w:color="auto"/>
      </w:divBdr>
      <w:divsChild>
        <w:div w:id="54284209">
          <w:marLeft w:val="0"/>
          <w:marRight w:val="0"/>
          <w:marTop w:val="0"/>
          <w:marBottom w:val="0"/>
          <w:divBdr>
            <w:top w:val="none" w:sz="0" w:space="0" w:color="auto"/>
            <w:left w:val="none" w:sz="0" w:space="0" w:color="auto"/>
            <w:bottom w:val="none" w:sz="0" w:space="0" w:color="auto"/>
            <w:right w:val="none" w:sz="0" w:space="0" w:color="auto"/>
          </w:divBdr>
          <w:divsChild>
            <w:div w:id="1567103451">
              <w:marLeft w:val="0"/>
              <w:marRight w:val="0"/>
              <w:marTop w:val="0"/>
              <w:marBottom w:val="0"/>
              <w:divBdr>
                <w:top w:val="none" w:sz="0" w:space="0" w:color="auto"/>
                <w:left w:val="none" w:sz="0" w:space="0" w:color="auto"/>
                <w:bottom w:val="none" w:sz="0" w:space="0" w:color="auto"/>
                <w:right w:val="none" w:sz="0" w:space="0" w:color="auto"/>
              </w:divBdr>
              <w:divsChild>
                <w:div w:id="18088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5012">
      <w:bodyDiv w:val="1"/>
      <w:marLeft w:val="0"/>
      <w:marRight w:val="0"/>
      <w:marTop w:val="0"/>
      <w:marBottom w:val="0"/>
      <w:divBdr>
        <w:top w:val="none" w:sz="0" w:space="0" w:color="auto"/>
        <w:left w:val="none" w:sz="0" w:space="0" w:color="auto"/>
        <w:bottom w:val="none" w:sz="0" w:space="0" w:color="auto"/>
        <w:right w:val="none" w:sz="0" w:space="0" w:color="auto"/>
      </w:divBdr>
      <w:divsChild>
        <w:div w:id="1689872313">
          <w:marLeft w:val="0"/>
          <w:marRight w:val="0"/>
          <w:marTop w:val="0"/>
          <w:marBottom w:val="0"/>
          <w:divBdr>
            <w:top w:val="none" w:sz="0" w:space="0" w:color="auto"/>
            <w:left w:val="none" w:sz="0" w:space="0" w:color="auto"/>
            <w:bottom w:val="none" w:sz="0" w:space="0" w:color="auto"/>
            <w:right w:val="none" w:sz="0" w:space="0" w:color="auto"/>
          </w:divBdr>
          <w:divsChild>
            <w:div w:id="1175730649">
              <w:marLeft w:val="0"/>
              <w:marRight w:val="0"/>
              <w:marTop w:val="0"/>
              <w:marBottom w:val="0"/>
              <w:divBdr>
                <w:top w:val="none" w:sz="0" w:space="0" w:color="auto"/>
                <w:left w:val="none" w:sz="0" w:space="0" w:color="auto"/>
                <w:bottom w:val="none" w:sz="0" w:space="0" w:color="auto"/>
                <w:right w:val="none" w:sz="0" w:space="0" w:color="auto"/>
              </w:divBdr>
              <w:divsChild>
                <w:div w:id="5674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5568">
      <w:bodyDiv w:val="1"/>
      <w:marLeft w:val="0"/>
      <w:marRight w:val="0"/>
      <w:marTop w:val="0"/>
      <w:marBottom w:val="0"/>
      <w:divBdr>
        <w:top w:val="none" w:sz="0" w:space="0" w:color="auto"/>
        <w:left w:val="none" w:sz="0" w:space="0" w:color="auto"/>
        <w:bottom w:val="none" w:sz="0" w:space="0" w:color="auto"/>
        <w:right w:val="none" w:sz="0" w:space="0" w:color="auto"/>
      </w:divBdr>
      <w:divsChild>
        <w:div w:id="1793936701">
          <w:marLeft w:val="0"/>
          <w:marRight w:val="0"/>
          <w:marTop w:val="0"/>
          <w:marBottom w:val="0"/>
          <w:divBdr>
            <w:top w:val="none" w:sz="0" w:space="0" w:color="auto"/>
            <w:left w:val="none" w:sz="0" w:space="0" w:color="auto"/>
            <w:bottom w:val="none" w:sz="0" w:space="0" w:color="auto"/>
            <w:right w:val="none" w:sz="0" w:space="0" w:color="auto"/>
          </w:divBdr>
          <w:divsChild>
            <w:div w:id="1190028191">
              <w:marLeft w:val="0"/>
              <w:marRight w:val="0"/>
              <w:marTop w:val="0"/>
              <w:marBottom w:val="0"/>
              <w:divBdr>
                <w:top w:val="none" w:sz="0" w:space="0" w:color="auto"/>
                <w:left w:val="none" w:sz="0" w:space="0" w:color="auto"/>
                <w:bottom w:val="none" w:sz="0" w:space="0" w:color="auto"/>
                <w:right w:val="none" w:sz="0" w:space="0" w:color="auto"/>
              </w:divBdr>
              <w:divsChild>
                <w:div w:id="1425489142">
                  <w:marLeft w:val="0"/>
                  <w:marRight w:val="0"/>
                  <w:marTop w:val="0"/>
                  <w:marBottom w:val="0"/>
                  <w:divBdr>
                    <w:top w:val="none" w:sz="0" w:space="0" w:color="auto"/>
                    <w:left w:val="none" w:sz="0" w:space="0" w:color="auto"/>
                    <w:bottom w:val="none" w:sz="0" w:space="0" w:color="auto"/>
                    <w:right w:val="none" w:sz="0" w:space="0" w:color="auto"/>
                  </w:divBdr>
                  <w:divsChild>
                    <w:div w:id="4340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850162">
      <w:bodyDiv w:val="1"/>
      <w:marLeft w:val="0"/>
      <w:marRight w:val="0"/>
      <w:marTop w:val="0"/>
      <w:marBottom w:val="0"/>
      <w:divBdr>
        <w:top w:val="none" w:sz="0" w:space="0" w:color="auto"/>
        <w:left w:val="none" w:sz="0" w:space="0" w:color="auto"/>
        <w:bottom w:val="none" w:sz="0" w:space="0" w:color="auto"/>
        <w:right w:val="none" w:sz="0" w:space="0" w:color="auto"/>
      </w:divBdr>
      <w:divsChild>
        <w:div w:id="1767339315">
          <w:marLeft w:val="0"/>
          <w:marRight w:val="0"/>
          <w:marTop w:val="0"/>
          <w:marBottom w:val="0"/>
          <w:divBdr>
            <w:top w:val="none" w:sz="0" w:space="0" w:color="auto"/>
            <w:left w:val="none" w:sz="0" w:space="0" w:color="auto"/>
            <w:bottom w:val="none" w:sz="0" w:space="0" w:color="auto"/>
            <w:right w:val="none" w:sz="0" w:space="0" w:color="auto"/>
          </w:divBdr>
          <w:divsChild>
            <w:div w:id="1381902338">
              <w:marLeft w:val="0"/>
              <w:marRight w:val="0"/>
              <w:marTop w:val="0"/>
              <w:marBottom w:val="0"/>
              <w:divBdr>
                <w:top w:val="none" w:sz="0" w:space="0" w:color="auto"/>
                <w:left w:val="none" w:sz="0" w:space="0" w:color="auto"/>
                <w:bottom w:val="none" w:sz="0" w:space="0" w:color="auto"/>
                <w:right w:val="none" w:sz="0" w:space="0" w:color="auto"/>
              </w:divBdr>
              <w:divsChild>
                <w:div w:id="211990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883678">
      <w:bodyDiv w:val="1"/>
      <w:marLeft w:val="0"/>
      <w:marRight w:val="0"/>
      <w:marTop w:val="0"/>
      <w:marBottom w:val="0"/>
      <w:divBdr>
        <w:top w:val="none" w:sz="0" w:space="0" w:color="auto"/>
        <w:left w:val="none" w:sz="0" w:space="0" w:color="auto"/>
        <w:bottom w:val="none" w:sz="0" w:space="0" w:color="auto"/>
        <w:right w:val="none" w:sz="0" w:space="0" w:color="auto"/>
      </w:divBdr>
      <w:divsChild>
        <w:div w:id="1208026084">
          <w:marLeft w:val="0"/>
          <w:marRight w:val="0"/>
          <w:marTop w:val="0"/>
          <w:marBottom w:val="0"/>
          <w:divBdr>
            <w:top w:val="none" w:sz="0" w:space="0" w:color="auto"/>
            <w:left w:val="none" w:sz="0" w:space="0" w:color="auto"/>
            <w:bottom w:val="none" w:sz="0" w:space="0" w:color="auto"/>
            <w:right w:val="none" w:sz="0" w:space="0" w:color="auto"/>
          </w:divBdr>
          <w:divsChild>
            <w:div w:id="183518481">
              <w:marLeft w:val="0"/>
              <w:marRight w:val="0"/>
              <w:marTop w:val="0"/>
              <w:marBottom w:val="0"/>
              <w:divBdr>
                <w:top w:val="none" w:sz="0" w:space="0" w:color="auto"/>
                <w:left w:val="none" w:sz="0" w:space="0" w:color="auto"/>
                <w:bottom w:val="none" w:sz="0" w:space="0" w:color="auto"/>
                <w:right w:val="none" w:sz="0" w:space="0" w:color="auto"/>
              </w:divBdr>
              <w:divsChild>
                <w:div w:id="46794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97878">
      <w:bodyDiv w:val="1"/>
      <w:marLeft w:val="0"/>
      <w:marRight w:val="0"/>
      <w:marTop w:val="0"/>
      <w:marBottom w:val="0"/>
      <w:divBdr>
        <w:top w:val="none" w:sz="0" w:space="0" w:color="auto"/>
        <w:left w:val="none" w:sz="0" w:space="0" w:color="auto"/>
        <w:bottom w:val="none" w:sz="0" w:space="0" w:color="auto"/>
        <w:right w:val="none" w:sz="0" w:space="0" w:color="auto"/>
      </w:divBdr>
      <w:divsChild>
        <w:div w:id="808405600">
          <w:marLeft w:val="0"/>
          <w:marRight w:val="0"/>
          <w:marTop w:val="0"/>
          <w:marBottom w:val="0"/>
          <w:divBdr>
            <w:top w:val="none" w:sz="0" w:space="0" w:color="auto"/>
            <w:left w:val="none" w:sz="0" w:space="0" w:color="auto"/>
            <w:bottom w:val="none" w:sz="0" w:space="0" w:color="auto"/>
            <w:right w:val="none" w:sz="0" w:space="0" w:color="auto"/>
          </w:divBdr>
          <w:divsChild>
            <w:div w:id="661205677">
              <w:marLeft w:val="0"/>
              <w:marRight w:val="0"/>
              <w:marTop w:val="0"/>
              <w:marBottom w:val="0"/>
              <w:divBdr>
                <w:top w:val="none" w:sz="0" w:space="0" w:color="auto"/>
                <w:left w:val="none" w:sz="0" w:space="0" w:color="auto"/>
                <w:bottom w:val="none" w:sz="0" w:space="0" w:color="auto"/>
                <w:right w:val="none" w:sz="0" w:space="0" w:color="auto"/>
              </w:divBdr>
              <w:divsChild>
                <w:div w:id="1894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562008">
      <w:bodyDiv w:val="1"/>
      <w:marLeft w:val="0"/>
      <w:marRight w:val="0"/>
      <w:marTop w:val="0"/>
      <w:marBottom w:val="0"/>
      <w:divBdr>
        <w:top w:val="none" w:sz="0" w:space="0" w:color="auto"/>
        <w:left w:val="none" w:sz="0" w:space="0" w:color="auto"/>
        <w:bottom w:val="none" w:sz="0" w:space="0" w:color="auto"/>
        <w:right w:val="none" w:sz="0" w:space="0" w:color="auto"/>
      </w:divBdr>
      <w:divsChild>
        <w:div w:id="1731028601">
          <w:marLeft w:val="0"/>
          <w:marRight w:val="0"/>
          <w:marTop w:val="0"/>
          <w:marBottom w:val="0"/>
          <w:divBdr>
            <w:top w:val="none" w:sz="0" w:space="0" w:color="auto"/>
            <w:left w:val="none" w:sz="0" w:space="0" w:color="auto"/>
            <w:bottom w:val="none" w:sz="0" w:space="0" w:color="auto"/>
            <w:right w:val="none" w:sz="0" w:space="0" w:color="auto"/>
          </w:divBdr>
          <w:divsChild>
            <w:div w:id="982395089">
              <w:marLeft w:val="0"/>
              <w:marRight w:val="0"/>
              <w:marTop w:val="0"/>
              <w:marBottom w:val="0"/>
              <w:divBdr>
                <w:top w:val="none" w:sz="0" w:space="0" w:color="auto"/>
                <w:left w:val="none" w:sz="0" w:space="0" w:color="auto"/>
                <w:bottom w:val="none" w:sz="0" w:space="0" w:color="auto"/>
                <w:right w:val="none" w:sz="0" w:space="0" w:color="auto"/>
              </w:divBdr>
              <w:divsChild>
                <w:div w:id="4963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008739">
      <w:bodyDiv w:val="1"/>
      <w:marLeft w:val="0"/>
      <w:marRight w:val="0"/>
      <w:marTop w:val="0"/>
      <w:marBottom w:val="0"/>
      <w:divBdr>
        <w:top w:val="none" w:sz="0" w:space="0" w:color="auto"/>
        <w:left w:val="none" w:sz="0" w:space="0" w:color="auto"/>
        <w:bottom w:val="none" w:sz="0" w:space="0" w:color="auto"/>
        <w:right w:val="none" w:sz="0" w:space="0" w:color="auto"/>
      </w:divBdr>
      <w:divsChild>
        <w:div w:id="1134060987">
          <w:marLeft w:val="0"/>
          <w:marRight w:val="0"/>
          <w:marTop w:val="0"/>
          <w:marBottom w:val="195"/>
          <w:divBdr>
            <w:top w:val="none" w:sz="0" w:space="0" w:color="auto"/>
            <w:left w:val="none" w:sz="0" w:space="0" w:color="auto"/>
            <w:bottom w:val="none" w:sz="0" w:space="0" w:color="auto"/>
            <w:right w:val="none" w:sz="0" w:space="0" w:color="auto"/>
          </w:divBdr>
        </w:div>
      </w:divsChild>
    </w:div>
    <w:div w:id="1369450942">
      <w:bodyDiv w:val="1"/>
      <w:marLeft w:val="0"/>
      <w:marRight w:val="0"/>
      <w:marTop w:val="0"/>
      <w:marBottom w:val="0"/>
      <w:divBdr>
        <w:top w:val="none" w:sz="0" w:space="0" w:color="auto"/>
        <w:left w:val="none" w:sz="0" w:space="0" w:color="auto"/>
        <w:bottom w:val="none" w:sz="0" w:space="0" w:color="auto"/>
        <w:right w:val="none" w:sz="0" w:space="0" w:color="auto"/>
      </w:divBdr>
      <w:divsChild>
        <w:div w:id="1460225428">
          <w:marLeft w:val="0"/>
          <w:marRight w:val="0"/>
          <w:marTop w:val="0"/>
          <w:marBottom w:val="0"/>
          <w:divBdr>
            <w:top w:val="none" w:sz="0" w:space="0" w:color="auto"/>
            <w:left w:val="none" w:sz="0" w:space="0" w:color="auto"/>
            <w:bottom w:val="none" w:sz="0" w:space="0" w:color="auto"/>
            <w:right w:val="none" w:sz="0" w:space="0" w:color="auto"/>
          </w:divBdr>
          <w:divsChild>
            <w:div w:id="1919363841">
              <w:marLeft w:val="0"/>
              <w:marRight w:val="0"/>
              <w:marTop w:val="0"/>
              <w:marBottom w:val="0"/>
              <w:divBdr>
                <w:top w:val="none" w:sz="0" w:space="0" w:color="auto"/>
                <w:left w:val="none" w:sz="0" w:space="0" w:color="auto"/>
                <w:bottom w:val="none" w:sz="0" w:space="0" w:color="auto"/>
                <w:right w:val="none" w:sz="0" w:space="0" w:color="auto"/>
              </w:divBdr>
              <w:divsChild>
                <w:div w:id="14971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640602">
      <w:bodyDiv w:val="1"/>
      <w:marLeft w:val="0"/>
      <w:marRight w:val="0"/>
      <w:marTop w:val="0"/>
      <w:marBottom w:val="0"/>
      <w:divBdr>
        <w:top w:val="none" w:sz="0" w:space="0" w:color="auto"/>
        <w:left w:val="none" w:sz="0" w:space="0" w:color="auto"/>
        <w:bottom w:val="none" w:sz="0" w:space="0" w:color="auto"/>
        <w:right w:val="none" w:sz="0" w:space="0" w:color="auto"/>
      </w:divBdr>
      <w:divsChild>
        <w:div w:id="1690990606">
          <w:marLeft w:val="0"/>
          <w:marRight w:val="0"/>
          <w:marTop w:val="0"/>
          <w:marBottom w:val="0"/>
          <w:divBdr>
            <w:top w:val="none" w:sz="0" w:space="0" w:color="auto"/>
            <w:left w:val="none" w:sz="0" w:space="0" w:color="auto"/>
            <w:bottom w:val="none" w:sz="0" w:space="0" w:color="auto"/>
            <w:right w:val="none" w:sz="0" w:space="0" w:color="auto"/>
          </w:divBdr>
          <w:divsChild>
            <w:div w:id="984314033">
              <w:marLeft w:val="0"/>
              <w:marRight w:val="0"/>
              <w:marTop w:val="0"/>
              <w:marBottom w:val="0"/>
              <w:divBdr>
                <w:top w:val="none" w:sz="0" w:space="0" w:color="auto"/>
                <w:left w:val="none" w:sz="0" w:space="0" w:color="auto"/>
                <w:bottom w:val="none" w:sz="0" w:space="0" w:color="auto"/>
                <w:right w:val="none" w:sz="0" w:space="0" w:color="auto"/>
              </w:divBdr>
              <w:divsChild>
                <w:div w:id="14146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172343">
      <w:bodyDiv w:val="1"/>
      <w:marLeft w:val="0"/>
      <w:marRight w:val="0"/>
      <w:marTop w:val="0"/>
      <w:marBottom w:val="0"/>
      <w:divBdr>
        <w:top w:val="none" w:sz="0" w:space="0" w:color="auto"/>
        <w:left w:val="none" w:sz="0" w:space="0" w:color="auto"/>
        <w:bottom w:val="none" w:sz="0" w:space="0" w:color="auto"/>
        <w:right w:val="none" w:sz="0" w:space="0" w:color="auto"/>
      </w:divBdr>
      <w:divsChild>
        <w:div w:id="777716712">
          <w:marLeft w:val="0"/>
          <w:marRight w:val="0"/>
          <w:marTop w:val="0"/>
          <w:marBottom w:val="0"/>
          <w:divBdr>
            <w:top w:val="none" w:sz="0" w:space="0" w:color="auto"/>
            <w:left w:val="none" w:sz="0" w:space="0" w:color="auto"/>
            <w:bottom w:val="none" w:sz="0" w:space="0" w:color="auto"/>
            <w:right w:val="none" w:sz="0" w:space="0" w:color="auto"/>
          </w:divBdr>
          <w:divsChild>
            <w:div w:id="496573636">
              <w:marLeft w:val="0"/>
              <w:marRight w:val="0"/>
              <w:marTop w:val="0"/>
              <w:marBottom w:val="0"/>
              <w:divBdr>
                <w:top w:val="none" w:sz="0" w:space="0" w:color="auto"/>
                <w:left w:val="none" w:sz="0" w:space="0" w:color="auto"/>
                <w:bottom w:val="none" w:sz="0" w:space="0" w:color="auto"/>
                <w:right w:val="none" w:sz="0" w:space="0" w:color="auto"/>
              </w:divBdr>
              <w:divsChild>
                <w:div w:id="8889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070408">
      <w:bodyDiv w:val="1"/>
      <w:marLeft w:val="0"/>
      <w:marRight w:val="0"/>
      <w:marTop w:val="0"/>
      <w:marBottom w:val="0"/>
      <w:divBdr>
        <w:top w:val="none" w:sz="0" w:space="0" w:color="auto"/>
        <w:left w:val="none" w:sz="0" w:space="0" w:color="auto"/>
        <w:bottom w:val="none" w:sz="0" w:space="0" w:color="auto"/>
        <w:right w:val="none" w:sz="0" w:space="0" w:color="auto"/>
      </w:divBdr>
      <w:divsChild>
        <w:div w:id="1712487288">
          <w:marLeft w:val="0"/>
          <w:marRight w:val="0"/>
          <w:marTop w:val="0"/>
          <w:marBottom w:val="0"/>
          <w:divBdr>
            <w:top w:val="none" w:sz="0" w:space="0" w:color="auto"/>
            <w:left w:val="none" w:sz="0" w:space="0" w:color="auto"/>
            <w:bottom w:val="none" w:sz="0" w:space="0" w:color="auto"/>
            <w:right w:val="none" w:sz="0" w:space="0" w:color="auto"/>
          </w:divBdr>
          <w:divsChild>
            <w:div w:id="1701130700">
              <w:marLeft w:val="0"/>
              <w:marRight w:val="0"/>
              <w:marTop w:val="0"/>
              <w:marBottom w:val="0"/>
              <w:divBdr>
                <w:top w:val="none" w:sz="0" w:space="0" w:color="auto"/>
                <w:left w:val="none" w:sz="0" w:space="0" w:color="auto"/>
                <w:bottom w:val="none" w:sz="0" w:space="0" w:color="auto"/>
                <w:right w:val="none" w:sz="0" w:space="0" w:color="auto"/>
              </w:divBdr>
              <w:divsChild>
                <w:div w:id="9942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626751">
      <w:bodyDiv w:val="1"/>
      <w:marLeft w:val="0"/>
      <w:marRight w:val="0"/>
      <w:marTop w:val="0"/>
      <w:marBottom w:val="0"/>
      <w:divBdr>
        <w:top w:val="none" w:sz="0" w:space="0" w:color="auto"/>
        <w:left w:val="none" w:sz="0" w:space="0" w:color="auto"/>
        <w:bottom w:val="none" w:sz="0" w:space="0" w:color="auto"/>
        <w:right w:val="none" w:sz="0" w:space="0" w:color="auto"/>
      </w:divBdr>
      <w:divsChild>
        <w:div w:id="980579635">
          <w:marLeft w:val="0"/>
          <w:marRight w:val="0"/>
          <w:marTop w:val="0"/>
          <w:marBottom w:val="0"/>
          <w:divBdr>
            <w:top w:val="none" w:sz="0" w:space="0" w:color="auto"/>
            <w:left w:val="none" w:sz="0" w:space="0" w:color="auto"/>
            <w:bottom w:val="none" w:sz="0" w:space="0" w:color="auto"/>
            <w:right w:val="none" w:sz="0" w:space="0" w:color="auto"/>
          </w:divBdr>
          <w:divsChild>
            <w:div w:id="482508063">
              <w:marLeft w:val="0"/>
              <w:marRight w:val="0"/>
              <w:marTop w:val="0"/>
              <w:marBottom w:val="0"/>
              <w:divBdr>
                <w:top w:val="none" w:sz="0" w:space="0" w:color="auto"/>
                <w:left w:val="none" w:sz="0" w:space="0" w:color="auto"/>
                <w:bottom w:val="none" w:sz="0" w:space="0" w:color="auto"/>
                <w:right w:val="none" w:sz="0" w:space="0" w:color="auto"/>
              </w:divBdr>
              <w:divsChild>
                <w:div w:id="109787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101760">
      <w:bodyDiv w:val="1"/>
      <w:marLeft w:val="0"/>
      <w:marRight w:val="0"/>
      <w:marTop w:val="0"/>
      <w:marBottom w:val="0"/>
      <w:divBdr>
        <w:top w:val="none" w:sz="0" w:space="0" w:color="auto"/>
        <w:left w:val="none" w:sz="0" w:space="0" w:color="auto"/>
        <w:bottom w:val="none" w:sz="0" w:space="0" w:color="auto"/>
        <w:right w:val="none" w:sz="0" w:space="0" w:color="auto"/>
      </w:divBdr>
      <w:divsChild>
        <w:div w:id="96946987">
          <w:marLeft w:val="0"/>
          <w:marRight w:val="0"/>
          <w:marTop w:val="0"/>
          <w:marBottom w:val="0"/>
          <w:divBdr>
            <w:top w:val="none" w:sz="0" w:space="0" w:color="auto"/>
            <w:left w:val="none" w:sz="0" w:space="0" w:color="auto"/>
            <w:bottom w:val="none" w:sz="0" w:space="0" w:color="auto"/>
            <w:right w:val="none" w:sz="0" w:space="0" w:color="auto"/>
          </w:divBdr>
          <w:divsChild>
            <w:div w:id="1587962710">
              <w:marLeft w:val="0"/>
              <w:marRight w:val="0"/>
              <w:marTop w:val="0"/>
              <w:marBottom w:val="0"/>
              <w:divBdr>
                <w:top w:val="none" w:sz="0" w:space="0" w:color="auto"/>
                <w:left w:val="none" w:sz="0" w:space="0" w:color="auto"/>
                <w:bottom w:val="none" w:sz="0" w:space="0" w:color="auto"/>
                <w:right w:val="none" w:sz="0" w:space="0" w:color="auto"/>
              </w:divBdr>
              <w:divsChild>
                <w:div w:id="347876761">
                  <w:marLeft w:val="0"/>
                  <w:marRight w:val="0"/>
                  <w:marTop w:val="0"/>
                  <w:marBottom w:val="0"/>
                  <w:divBdr>
                    <w:top w:val="none" w:sz="0" w:space="0" w:color="auto"/>
                    <w:left w:val="none" w:sz="0" w:space="0" w:color="auto"/>
                    <w:bottom w:val="none" w:sz="0" w:space="0" w:color="auto"/>
                    <w:right w:val="none" w:sz="0" w:space="0" w:color="auto"/>
                  </w:divBdr>
                  <w:divsChild>
                    <w:div w:id="191230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674960">
      <w:bodyDiv w:val="1"/>
      <w:marLeft w:val="0"/>
      <w:marRight w:val="0"/>
      <w:marTop w:val="0"/>
      <w:marBottom w:val="0"/>
      <w:divBdr>
        <w:top w:val="none" w:sz="0" w:space="0" w:color="auto"/>
        <w:left w:val="none" w:sz="0" w:space="0" w:color="auto"/>
        <w:bottom w:val="none" w:sz="0" w:space="0" w:color="auto"/>
        <w:right w:val="none" w:sz="0" w:space="0" w:color="auto"/>
      </w:divBdr>
      <w:divsChild>
        <w:div w:id="595595124">
          <w:marLeft w:val="0"/>
          <w:marRight w:val="0"/>
          <w:marTop w:val="0"/>
          <w:marBottom w:val="0"/>
          <w:divBdr>
            <w:top w:val="none" w:sz="0" w:space="0" w:color="auto"/>
            <w:left w:val="none" w:sz="0" w:space="0" w:color="auto"/>
            <w:bottom w:val="none" w:sz="0" w:space="0" w:color="auto"/>
            <w:right w:val="none" w:sz="0" w:space="0" w:color="auto"/>
          </w:divBdr>
          <w:divsChild>
            <w:div w:id="79983104">
              <w:marLeft w:val="0"/>
              <w:marRight w:val="0"/>
              <w:marTop w:val="0"/>
              <w:marBottom w:val="0"/>
              <w:divBdr>
                <w:top w:val="none" w:sz="0" w:space="0" w:color="auto"/>
                <w:left w:val="none" w:sz="0" w:space="0" w:color="auto"/>
                <w:bottom w:val="none" w:sz="0" w:space="0" w:color="auto"/>
                <w:right w:val="none" w:sz="0" w:space="0" w:color="auto"/>
              </w:divBdr>
              <w:divsChild>
                <w:div w:id="18865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48713">
      <w:bodyDiv w:val="1"/>
      <w:marLeft w:val="0"/>
      <w:marRight w:val="0"/>
      <w:marTop w:val="0"/>
      <w:marBottom w:val="0"/>
      <w:divBdr>
        <w:top w:val="none" w:sz="0" w:space="0" w:color="auto"/>
        <w:left w:val="none" w:sz="0" w:space="0" w:color="auto"/>
        <w:bottom w:val="none" w:sz="0" w:space="0" w:color="auto"/>
        <w:right w:val="none" w:sz="0" w:space="0" w:color="auto"/>
      </w:divBdr>
      <w:divsChild>
        <w:div w:id="989945474">
          <w:marLeft w:val="0"/>
          <w:marRight w:val="0"/>
          <w:marTop w:val="0"/>
          <w:marBottom w:val="0"/>
          <w:divBdr>
            <w:top w:val="none" w:sz="0" w:space="0" w:color="auto"/>
            <w:left w:val="none" w:sz="0" w:space="0" w:color="auto"/>
            <w:bottom w:val="none" w:sz="0" w:space="0" w:color="auto"/>
            <w:right w:val="none" w:sz="0" w:space="0" w:color="auto"/>
          </w:divBdr>
          <w:divsChild>
            <w:div w:id="1136022836">
              <w:marLeft w:val="0"/>
              <w:marRight w:val="0"/>
              <w:marTop w:val="0"/>
              <w:marBottom w:val="0"/>
              <w:divBdr>
                <w:top w:val="none" w:sz="0" w:space="0" w:color="auto"/>
                <w:left w:val="none" w:sz="0" w:space="0" w:color="auto"/>
                <w:bottom w:val="none" w:sz="0" w:space="0" w:color="auto"/>
                <w:right w:val="none" w:sz="0" w:space="0" w:color="auto"/>
              </w:divBdr>
              <w:divsChild>
                <w:div w:id="87739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2019">
      <w:bodyDiv w:val="1"/>
      <w:marLeft w:val="0"/>
      <w:marRight w:val="0"/>
      <w:marTop w:val="0"/>
      <w:marBottom w:val="0"/>
      <w:divBdr>
        <w:top w:val="none" w:sz="0" w:space="0" w:color="auto"/>
        <w:left w:val="none" w:sz="0" w:space="0" w:color="auto"/>
        <w:bottom w:val="none" w:sz="0" w:space="0" w:color="auto"/>
        <w:right w:val="none" w:sz="0" w:space="0" w:color="auto"/>
      </w:divBdr>
      <w:divsChild>
        <w:div w:id="1870364246">
          <w:marLeft w:val="0"/>
          <w:marRight w:val="0"/>
          <w:marTop w:val="0"/>
          <w:marBottom w:val="0"/>
          <w:divBdr>
            <w:top w:val="none" w:sz="0" w:space="0" w:color="auto"/>
            <w:left w:val="none" w:sz="0" w:space="0" w:color="auto"/>
            <w:bottom w:val="none" w:sz="0" w:space="0" w:color="auto"/>
            <w:right w:val="none" w:sz="0" w:space="0" w:color="auto"/>
          </w:divBdr>
          <w:divsChild>
            <w:div w:id="254214334">
              <w:marLeft w:val="0"/>
              <w:marRight w:val="0"/>
              <w:marTop w:val="0"/>
              <w:marBottom w:val="0"/>
              <w:divBdr>
                <w:top w:val="none" w:sz="0" w:space="0" w:color="auto"/>
                <w:left w:val="none" w:sz="0" w:space="0" w:color="auto"/>
                <w:bottom w:val="none" w:sz="0" w:space="0" w:color="auto"/>
                <w:right w:val="none" w:sz="0" w:space="0" w:color="auto"/>
              </w:divBdr>
              <w:divsChild>
                <w:div w:id="94511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400487">
      <w:bodyDiv w:val="1"/>
      <w:marLeft w:val="0"/>
      <w:marRight w:val="0"/>
      <w:marTop w:val="0"/>
      <w:marBottom w:val="0"/>
      <w:divBdr>
        <w:top w:val="none" w:sz="0" w:space="0" w:color="auto"/>
        <w:left w:val="none" w:sz="0" w:space="0" w:color="auto"/>
        <w:bottom w:val="none" w:sz="0" w:space="0" w:color="auto"/>
        <w:right w:val="none" w:sz="0" w:space="0" w:color="auto"/>
      </w:divBdr>
      <w:divsChild>
        <w:div w:id="1379822181">
          <w:marLeft w:val="0"/>
          <w:marRight w:val="0"/>
          <w:marTop w:val="0"/>
          <w:marBottom w:val="0"/>
          <w:divBdr>
            <w:top w:val="none" w:sz="0" w:space="0" w:color="auto"/>
            <w:left w:val="none" w:sz="0" w:space="0" w:color="auto"/>
            <w:bottom w:val="none" w:sz="0" w:space="0" w:color="auto"/>
            <w:right w:val="none" w:sz="0" w:space="0" w:color="auto"/>
          </w:divBdr>
          <w:divsChild>
            <w:div w:id="1387100280">
              <w:marLeft w:val="0"/>
              <w:marRight w:val="0"/>
              <w:marTop w:val="0"/>
              <w:marBottom w:val="0"/>
              <w:divBdr>
                <w:top w:val="none" w:sz="0" w:space="0" w:color="auto"/>
                <w:left w:val="none" w:sz="0" w:space="0" w:color="auto"/>
                <w:bottom w:val="none" w:sz="0" w:space="0" w:color="auto"/>
                <w:right w:val="none" w:sz="0" w:space="0" w:color="auto"/>
              </w:divBdr>
              <w:divsChild>
                <w:div w:id="20777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102674">
      <w:bodyDiv w:val="1"/>
      <w:marLeft w:val="0"/>
      <w:marRight w:val="0"/>
      <w:marTop w:val="0"/>
      <w:marBottom w:val="0"/>
      <w:divBdr>
        <w:top w:val="none" w:sz="0" w:space="0" w:color="auto"/>
        <w:left w:val="none" w:sz="0" w:space="0" w:color="auto"/>
        <w:bottom w:val="none" w:sz="0" w:space="0" w:color="auto"/>
        <w:right w:val="none" w:sz="0" w:space="0" w:color="auto"/>
      </w:divBdr>
    </w:div>
    <w:div w:id="1456169319">
      <w:bodyDiv w:val="1"/>
      <w:marLeft w:val="0"/>
      <w:marRight w:val="0"/>
      <w:marTop w:val="0"/>
      <w:marBottom w:val="0"/>
      <w:divBdr>
        <w:top w:val="none" w:sz="0" w:space="0" w:color="auto"/>
        <w:left w:val="none" w:sz="0" w:space="0" w:color="auto"/>
        <w:bottom w:val="none" w:sz="0" w:space="0" w:color="auto"/>
        <w:right w:val="none" w:sz="0" w:space="0" w:color="auto"/>
      </w:divBdr>
      <w:divsChild>
        <w:div w:id="1058937893">
          <w:marLeft w:val="0"/>
          <w:marRight w:val="0"/>
          <w:marTop w:val="0"/>
          <w:marBottom w:val="0"/>
          <w:divBdr>
            <w:top w:val="none" w:sz="0" w:space="0" w:color="auto"/>
            <w:left w:val="none" w:sz="0" w:space="0" w:color="auto"/>
            <w:bottom w:val="none" w:sz="0" w:space="0" w:color="auto"/>
            <w:right w:val="none" w:sz="0" w:space="0" w:color="auto"/>
          </w:divBdr>
          <w:divsChild>
            <w:div w:id="2022924089">
              <w:marLeft w:val="0"/>
              <w:marRight w:val="0"/>
              <w:marTop w:val="0"/>
              <w:marBottom w:val="0"/>
              <w:divBdr>
                <w:top w:val="none" w:sz="0" w:space="0" w:color="auto"/>
                <w:left w:val="none" w:sz="0" w:space="0" w:color="auto"/>
                <w:bottom w:val="none" w:sz="0" w:space="0" w:color="auto"/>
                <w:right w:val="none" w:sz="0" w:space="0" w:color="auto"/>
              </w:divBdr>
              <w:divsChild>
                <w:div w:id="1390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757268">
      <w:bodyDiv w:val="1"/>
      <w:marLeft w:val="0"/>
      <w:marRight w:val="0"/>
      <w:marTop w:val="0"/>
      <w:marBottom w:val="0"/>
      <w:divBdr>
        <w:top w:val="none" w:sz="0" w:space="0" w:color="auto"/>
        <w:left w:val="none" w:sz="0" w:space="0" w:color="auto"/>
        <w:bottom w:val="none" w:sz="0" w:space="0" w:color="auto"/>
        <w:right w:val="none" w:sz="0" w:space="0" w:color="auto"/>
      </w:divBdr>
      <w:divsChild>
        <w:div w:id="1077752597">
          <w:marLeft w:val="0"/>
          <w:marRight w:val="0"/>
          <w:marTop w:val="0"/>
          <w:marBottom w:val="0"/>
          <w:divBdr>
            <w:top w:val="none" w:sz="0" w:space="0" w:color="auto"/>
            <w:left w:val="none" w:sz="0" w:space="0" w:color="auto"/>
            <w:bottom w:val="none" w:sz="0" w:space="0" w:color="auto"/>
            <w:right w:val="none" w:sz="0" w:space="0" w:color="auto"/>
          </w:divBdr>
          <w:divsChild>
            <w:div w:id="1852183238">
              <w:marLeft w:val="0"/>
              <w:marRight w:val="0"/>
              <w:marTop w:val="0"/>
              <w:marBottom w:val="0"/>
              <w:divBdr>
                <w:top w:val="none" w:sz="0" w:space="0" w:color="auto"/>
                <w:left w:val="none" w:sz="0" w:space="0" w:color="auto"/>
                <w:bottom w:val="none" w:sz="0" w:space="0" w:color="auto"/>
                <w:right w:val="none" w:sz="0" w:space="0" w:color="auto"/>
              </w:divBdr>
              <w:divsChild>
                <w:div w:id="143389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38591">
      <w:bodyDiv w:val="1"/>
      <w:marLeft w:val="0"/>
      <w:marRight w:val="0"/>
      <w:marTop w:val="0"/>
      <w:marBottom w:val="0"/>
      <w:divBdr>
        <w:top w:val="none" w:sz="0" w:space="0" w:color="auto"/>
        <w:left w:val="none" w:sz="0" w:space="0" w:color="auto"/>
        <w:bottom w:val="none" w:sz="0" w:space="0" w:color="auto"/>
        <w:right w:val="none" w:sz="0" w:space="0" w:color="auto"/>
      </w:divBdr>
      <w:divsChild>
        <w:div w:id="1616984087">
          <w:marLeft w:val="0"/>
          <w:marRight w:val="0"/>
          <w:marTop w:val="0"/>
          <w:marBottom w:val="0"/>
          <w:divBdr>
            <w:top w:val="none" w:sz="0" w:space="0" w:color="auto"/>
            <w:left w:val="none" w:sz="0" w:space="0" w:color="auto"/>
            <w:bottom w:val="none" w:sz="0" w:space="0" w:color="auto"/>
            <w:right w:val="none" w:sz="0" w:space="0" w:color="auto"/>
          </w:divBdr>
          <w:divsChild>
            <w:div w:id="1386755241">
              <w:marLeft w:val="0"/>
              <w:marRight w:val="0"/>
              <w:marTop w:val="0"/>
              <w:marBottom w:val="0"/>
              <w:divBdr>
                <w:top w:val="none" w:sz="0" w:space="0" w:color="auto"/>
                <w:left w:val="none" w:sz="0" w:space="0" w:color="auto"/>
                <w:bottom w:val="none" w:sz="0" w:space="0" w:color="auto"/>
                <w:right w:val="none" w:sz="0" w:space="0" w:color="auto"/>
              </w:divBdr>
              <w:divsChild>
                <w:div w:id="37593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14296">
      <w:bodyDiv w:val="1"/>
      <w:marLeft w:val="0"/>
      <w:marRight w:val="0"/>
      <w:marTop w:val="0"/>
      <w:marBottom w:val="0"/>
      <w:divBdr>
        <w:top w:val="none" w:sz="0" w:space="0" w:color="auto"/>
        <w:left w:val="none" w:sz="0" w:space="0" w:color="auto"/>
        <w:bottom w:val="none" w:sz="0" w:space="0" w:color="auto"/>
        <w:right w:val="none" w:sz="0" w:space="0" w:color="auto"/>
      </w:divBdr>
      <w:divsChild>
        <w:div w:id="1409496033">
          <w:marLeft w:val="0"/>
          <w:marRight w:val="0"/>
          <w:marTop w:val="0"/>
          <w:marBottom w:val="0"/>
          <w:divBdr>
            <w:top w:val="none" w:sz="0" w:space="0" w:color="auto"/>
            <w:left w:val="none" w:sz="0" w:space="0" w:color="auto"/>
            <w:bottom w:val="none" w:sz="0" w:space="0" w:color="auto"/>
            <w:right w:val="none" w:sz="0" w:space="0" w:color="auto"/>
          </w:divBdr>
          <w:divsChild>
            <w:div w:id="1653606499">
              <w:marLeft w:val="0"/>
              <w:marRight w:val="0"/>
              <w:marTop w:val="0"/>
              <w:marBottom w:val="0"/>
              <w:divBdr>
                <w:top w:val="none" w:sz="0" w:space="0" w:color="auto"/>
                <w:left w:val="none" w:sz="0" w:space="0" w:color="auto"/>
                <w:bottom w:val="none" w:sz="0" w:space="0" w:color="auto"/>
                <w:right w:val="none" w:sz="0" w:space="0" w:color="auto"/>
              </w:divBdr>
              <w:divsChild>
                <w:div w:id="3128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51588">
      <w:bodyDiv w:val="1"/>
      <w:marLeft w:val="0"/>
      <w:marRight w:val="0"/>
      <w:marTop w:val="0"/>
      <w:marBottom w:val="0"/>
      <w:divBdr>
        <w:top w:val="none" w:sz="0" w:space="0" w:color="auto"/>
        <w:left w:val="none" w:sz="0" w:space="0" w:color="auto"/>
        <w:bottom w:val="none" w:sz="0" w:space="0" w:color="auto"/>
        <w:right w:val="none" w:sz="0" w:space="0" w:color="auto"/>
      </w:divBdr>
      <w:divsChild>
        <w:div w:id="836967622">
          <w:marLeft w:val="0"/>
          <w:marRight w:val="0"/>
          <w:marTop w:val="0"/>
          <w:marBottom w:val="0"/>
          <w:divBdr>
            <w:top w:val="none" w:sz="0" w:space="0" w:color="auto"/>
            <w:left w:val="none" w:sz="0" w:space="0" w:color="auto"/>
            <w:bottom w:val="none" w:sz="0" w:space="0" w:color="auto"/>
            <w:right w:val="none" w:sz="0" w:space="0" w:color="auto"/>
          </w:divBdr>
          <w:divsChild>
            <w:div w:id="254678022">
              <w:marLeft w:val="0"/>
              <w:marRight w:val="0"/>
              <w:marTop w:val="0"/>
              <w:marBottom w:val="0"/>
              <w:divBdr>
                <w:top w:val="none" w:sz="0" w:space="0" w:color="auto"/>
                <w:left w:val="none" w:sz="0" w:space="0" w:color="auto"/>
                <w:bottom w:val="none" w:sz="0" w:space="0" w:color="auto"/>
                <w:right w:val="none" w:sz="0" w:space="0" w:color="auto"/>
              </w:divBdr>
              <w:divsChild>
                <w:div w:id="5726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45076">
      <w:bodyDiv w:val="1"/>
      <w:marLeft w:val="0"/>
      <w:marRight w:val="0"/>
      <w:marTop w:val="0"/>
      <w:marBottom w:val="0"/>
      <w:divBdr>
        <w:top w:val="none" w:sz="0" w:space="0" w:color="auto"/>
        <w:left w:val="none" w:sz="0" w:space="0" w:color="auto"/>
        <w:bottom w:val="none" w:sz="0" w:space="0" w:color="auto"/>
        <w:right w:val="none" w:sz="0" w:space="0" w:color="auto"/>
      </w:divBdr>
      <w:divsChild>
        <w:div w:id="1477919447">
          <w:marLeft w:val="0"/>
          <w:marRight w:val="0"/>
          <w:marTop w:val="0"/>
          <w:marBottom w:val="0"/>
          <w:divBdr>
            <w:top w:val="none" w:sz="0" w:space="0" w:color="auto"/>
            <w:left w:val="none" w:sz="0" w:space="0" w:color="auto"/>
            <w:bottom w:val="none" w:sz="0" w:space="0" w:color="auto"/>
            <w:right w:val="none" w:sz="0" w:space="0" w:color="auto"/>
          </w:divBdr>
          <w:divsChild>
            <w:div w:id="1654604733">
              <w:marLeft w:val="0"/>
              <w:marRight w:val="0"/>
              <w:marTop w:val="0"/>
              <w:marBottom w:val="0"/>
              <w:divBdr>
                <w:top w:val="none" w:sz="0" w:space="0" w:color="auto"/>
                <w:left w:val="none" w:sz="0" w:space="0" w:color="auto"/>
                <w:bottom w:val="none" w:sz="0" w:space="0" w:color="auto"/>
                <w:right w:val="none" w:sz="0" w:space="0" w:color="auto"/>
              </w:divBdr>
              <w:divsChild>
                <w:div w:id="142811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09230">
      <w:bodyDiv w:val="1"/>
      <w:marLeft w:val="0"/>
      <w:marRight w:val="0"/>
      <w:marTop w:val="0"/>
      <w:marBottom w:val="0"/>
      <w:divBdr>
        <w:top w:val="none" w:sz="0" w:space="0" w:color="auto"/>
        <w:left w:val="none" w:sz="0" w:space="0" w:color="auto"/>
        <w:bottom w:val="none" w:sz="0" w:space="0" w:color="auto"/>
        <w:right w:val="none" w:sz="0" w:space="0" w:color="auto"/>
      </w:divBdr>
      <w:divsChild>
        <w:div w:id="466705734">
          <w:marLeft w:val="0"/>
          <w:marRight w:val="0"/>
          <w:marTop w:val="0"/>
          <w:marBottom w:val="0"/>
          <w:divBdr>
            <w:top w:val="none" w:sz="0" w:space="0" w:color="auto"/>
            <w:left w:val="none" w:sz="0" w:space="0" w:color="auto"/>
            <w:bottom w:val="none" w:sz="0" w:space="0" w:color="auto"/>
            <w:right w:val="none" w:sz="0" w:space="0" w:color="auto"/>
          </w:divBdr>
          <w:divsChild>
            <w:div w:id="1345471543">
              <w:marLeft w:val="0"/>
              <w:marRight w:val="0"/>
              <w:marTop w:val="0"/>
              <w:marBottom w:val="0"/>
              <w:divBdr>
                <w:top w:val="none" w:sz="0" w:space="0" w:color="auto"/>
                <w:left w:val="none" w:sz="0" w:space="0" w:color="auto"/>
                <w:bottom w:val="none" w:sz="0" w:space="0" w:color="auto"/>
                <w:right w:val="none" w:sz="0" w:space="0" w:color="auto"/>
              </w:divBdr>
              <w:divsChild>
                <w:div w:id="16614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6652">
      <w:bodyDiv w:val="1"/>
      <w:marLeft w:val="0"/>
      <w:marRight w:val="0"/>
      <w:marTop w:val="0"/>
      <w:marBottom w:val="0"/>
      <w:divBdr>
        <w:top w:val="none" w:sz="0" w:space="0" w:color="auto"/>
        <w:left w:val="none" w:sz="0" w:space="0" w:color="auto"/>
        <w:bottom w:val="none" w:sz="0" w:space="0" w:color="auto"/>
        <w:right w:val="none" w:sz="0" w:space="0" w:color="auto"/>
      </w:divBdr>
      <w:divsChild>
        <w:div w:id="2117099122">
          <w:marLeft w:val="0"/>
          <w:marRight w:val="0"/>
          <w:marTop w:val="0"/>
          <w:marBottom w:val="0"/>
          <w:divBdr>
            <w:top w:val="none" w:sz="0" w:space="0" w:color="auto"/>
            <w:left w:val="none" w:sz="0" w:space="0" w:color="auto"/>
            <w:bottom w:val="none" w:sz="0" w:space="0" w:color="auto"/>
            <w:right w:val="none" w:sz="0" w:space="0" w:color="auto"/>
          </w:divBdr>
          <w:divsChild>
            <w:div w:id="917322199">
              <w:marLeft w:val="0"/>
              <w:marRight w:val="0"/>
              <w:marTop w:val="0"/>
              <w:marBottom w:val="0"/>
              <w:divBdr>
                <w:top w:val="none" w:sz="0" w:space="0" w:color="auto"/>
                <w:left w:val="none" w:sz="0" w:space="0" w:color="auto"/>
                <w:bottom w:val="none" w:sz="0" w:space="0" w:color="auto"/>
                <w:right w:val="none" w:sz="0" w:space="0" w:color="auto"/>
              </w:divBdr>
              <w:divsChild>
                <w:div w:id="62805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97565">
      <w:bodyDiv w:val="1"/>
      <w:marLeft w:val="0"/>
      <w:marRight w:val="0"/>
      <w:marTop w:val="0"/>
      <w:marBottom w:val="0"/>
      <w:divBdr>
        <w:top w:val="none" w:sz="0" w:space="0" w:color="auto"/>
        <w:left w:val="none" w:sz="0" w:space="0" w:color="auto"/>
        <w:bottom w:val="none" w:sz="0" w:space="0" w:color="auto"/>
        <w:right w:val="none" w:sz="0" w:space="0" w:color="auto"/>
      </w:divBdr>
      <w:divsChild>
        <w:div w:id="1880435574">
          <w:marLeft w:val="0"/>
          <w:marRight w:val="0"/>
          <w:marTop w:val="0"/>
          <w:marBottom w:val="0"/>
          <w:divBdr>
            <w:top w:val="none" w:sz="0" w:space="0" w:color="auto"/>
            <w:left w:val="none" w:sz="0" w:space="0" w:color="auto"/>
            <w:bottom w:val="none" w:sz="0" w:space="0" w:color="auto"/>
            <w:right w:val="none" w:sz="0" w:space="0" w:color="auto"/>
          </w:divBdr>
          <w:divsChild>
            <w:div w:id="930285268">
              <w:marLeft w:val="0"/>
              <w:marRight w:val="0"/>
              <w:marTop w:val="0"/>
              <w:marBottom w:val="0"/>
              <w:divBdr>
                <w:top w:val="none" w:sz="0" w:space="0" w:color="auto"/>
                <w:left w:val="none" w:sz="0" w:space="0" w:color="auto"/>
                <w:bottom w:val="none" w:sz="0" w:space="0" w:color="auto"/>
                <w:right w:val="none" w:sz="0" w:space="0" w:color="auto"/>
              </w:divBdr>
              <w:divsChild>
                <w:div w:id="79621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849940">
      <w:bodyDiv w:val="1"/>
      <w:marLeft w:val="0"/>
      <w:marRight w:val="0"/>
      <w:marTop w:val="0"/>
      <w:marBottom w:val="0"/>
      <w:divBdr>
        <w:top w:val="none" w:sz="0" w:space="0" w:color="auto"/>
        <w:left w:val="none" w:sz="0" w:space="0" w:color="auto"/>
        <w:bottom w:val="none" w:sz="0" w:space="0" w:color="auto"/>
        <w:right w:val="none" w:sz="0" w:space="0" w:color="auto"/>
      </w:divBdr>
      <w:divsChild>
        <w:div w:id="1003553958">
          <w:marLeft w:val="0"/>
          <w:marRight w:val="0"/>
          <w:marTop w:val="0"/>
          <w:marBottom w:val="0"/>
          <w:divBdr>
            <w:top w:val="none" w:sz="0" w:space="0" w:color="auto"/>
            <w:left w:val="none" w:sz="0" w:space="0" w:color="auto"/>
            <w:bottom w:val="none" w:sz="0" w:space="0" w:color="auto"/>
            <w:right w:val="none" w:sz="0" w:space="0" w:color="auto"/>
          </w:divBdr>
          <w:divsChild>
            <w:div w:id="707995242">
              <w:marLeft w:val="0"/>
              <w:marRight w:val="0"/>
              <w:marTop w:val="0"/>
              <w:marBottom w:val="0"/>
              <w:divBdr>
                <w:top w:val="none" w:sz="0" w:space="0" w:color="auto"/>
                <w:left w:val="none" w:sz="0" w:space="0" w:color="auto"/>
                <w:bottom w:val="none" w:sz="0" w:space="0" w:color="auto"/>
                <w:right w:val="none" w:sz="0" w:space="0" w:color="auto"/>
              </w:divBdr>
              <w:divsChild>
                <w:div w:id="6748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47508">
      <w:bodyDiv w:val="1"/>
      <w:marLeft w:val="0"/>
      <w:marRight w:val="0"/>
      <w:marTop w:val="0"/>
      <w:marBottom w:val="0"/>
      <w:divBdr>
        <w:top w:val="none" w:sz="0" w:space="0" w:color="auto"/>
        <w:left w:val="none" w:sz="0" w:space="0" w:color="auto"/>
        <w:bottom w:val="none" w:sz="0" w:space="0" w:color="auto"/>
        <w:right w:val="none" w:sz="0" w:space="0" w:color="auto"/>
      </w:divBdr>
      <w:divsChild>
        <w:div w:id="2084519422">
          <w:marLeft w:val="0"/>
          <w:marRight w:val="0"/>
          <w:marTop w:val="0"/>
          <w:marBottom w:val="0"/>
          <w:divBdr>
            <w:top w:val="none" w:sz="0" w:space="0" w:color="auto"/>
            <w:left w:val="none" w:sz="0" w:space="0" w:color="auto"/>
            <w:bottom w:val="none" w:sz="0" w:space="0" w:color="auto"/>
            <w:right w:val="none" w:sz="0" w:space="0" w:color="auto"/>
          </w:divBdr>
          <w:divsChild>
            <w:div w:id="403575866">
              <w:marLeft w:val="0"/>
              <w:marRight w:val="0"/>
              <w:marTop w:val="0"/>
              <w:marBottom w:val="0"/>
              <w:divBdr>
                <w:top w:val="none" w:sz="0" w:space="0" w:color="auto"/>
                <w:left w:val="none" w:sz="0" w:space="0" w:color="auto"/>
                <w:bottom w:val="none" w:sz="0" w:space="0" w:color="auto"/>
                <w:right w:val="none" w:sz="0" w:space="0" w:color="auto"/>
              </w:divBdr>
              <w:divsChild>
                <w:div w:id="129644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45258">
      <w:bodyDiv w:val="1"/>
      <w:marLeft w:val="0"/>
      <w:marRight w:val="0"/>
      <w:marTop w:val="0"/>
      <w:marBottom w:val="0"/>
      <w:divBdr>
        <w:top w:val="none" w:sz="0" w:space="0" w:color="auto"/>
        <w:left w:val="none" w:sz="0" w:space="0" w:color="auto"/>
        <w:bottom w:val="none" w:sz="0" w:space="0" w:color="auto"/>
        <w:right w:val="none" w:sz="0" w:space="0" w:color="auto"/>
      </w:divBdr>
      <w:divsChild>
        <w:div w:id="1854758451">
          <w:marLeft w:val="0"/>
          <w:marRight w:val="0"/>
          <w:marTop w:val="0"/>
          <w:marBottom w:val="0"/>
          <w:divBdr>
            <w:top w:val="none" w:sz="0" w:space="0" w:color="auto"/>
            <w:left w:val="none" w:sz="0" w:space="0" w:color="auto"/>
            <w:bottom w:val="none" w:sz="0" w:space="0" w:color="auto"/>
            <w:right w:val="none" w:sz="0" w:space="0" w:color="auto"/>
          </w:divBdr>
          <w:divsChild>
            <w:div w:id="529539039">
              <w:marLeft w:val="0"/>
              <w:marRight w:val="0"/>
              <w:marTop w:val="0"/>
              <w:marBottom w:val="0"/>
              <w:divBdr>
                <w:top w:val="none" w:sz="0" w:space="0" w:color="auto"/>
                <w:left w:val="none" w:sz="0" w:space="0" w:color="auto"/>
                <w:bottom w:val="none" w:sz="0" w:space="0" w:color="auto"/>
                <w:right w:val="none" w:sz="0" w:space="0" w:color="auto"/>
              </w:divBdr>
              <w:divsChild>
                <w:div w:id="1953589152">
                  <w:marLeft w:val="0"/>
                  <w:marRight w:val="0"/>
                  <w:marTop w:val="0"/>
                  <w:marBottom w:val="0"/>
                  <w:divBdr>
                    <w:top w:val="none" w:sz="0" w:space="0" w:color="auto"/>
                    <w:left w:val="none" w:sz="0" w:space="0" w:color="auto"/>
                    <w:bottom w:val="none" w:sz="0" w:space="0" w:color="auto"/>
                    <w:right w:val="none" w:sz="0" w:space="0" w:color="auto"/>
                  </w:divBdr>
                  <w:divsChild>
                    <w:div w:id="1859780688">
                      <w:marLeft w:val="0"/>
                      <w:marRight w:val="0"/>
                      <w:marTop w:val="0"/>
                      <w:marBottom w:val="0"/>
                      <w:divBdr>
                        <w:top w:val="none" w:sz="0" w:space="0" w:color="auto"/>
                        <w:left w:val="none" w:sz="0" w:space="0" w:color="auto"/>
                        <w:bottom w:val="none" w:sz="0" w:space="0" w:color="auto"/>
                        <w:right w:val="none" w:sz="0" w:space="0" w:color="auto"/>
                      </w:divBdr>
                    </w:div>
                  </w:divsChild>
                </w:div>
                <w:div w:id="705519192">
                  <w:marLeft w:val="0"/>
                  <w:marRight w:val="0"/>
                  <w:marTop w:val="0"/>
                  <w:marBottom w:val="0"/>
                  <w:divBdr>
                    <w:top w:val="none" w:sz="0" w:space="0" w:color="auto"/>
                    <w:left w:val="none" w:sz="0" w:space="0" w:color="auto"/>
                    <w:bottom w:val="none" w:sz="0" w:space="0" w:color="auto"/>
                    <w:right w:val="none" w:sz="0" w:space="0" w:color="auto"/>
                  </w:divBdr>
                  <w:divsChild>
                    <w:div w:id="44182595">
                      <w:marLeft w:val="0"/>
                      <w:marRight w:val="0"/>
                      <w:marTop w:val="0"/>
                      <w:marBottom w:val="0"/>
                      <w:divBdr>
                        <w:top w:val="none" w:sz="0" w:space="0" w:color="auto"/>
                        <w:left w:val="none" w:sz="0" w:space="0" w:color="auto"/>
                        <w:bottom w:val="none" w:sz="0" w:space="0" w:color="auto"/>
                        <w:right w:val="none" w:sz="0" w:space="0" w:color="auto"/>
                      </w:divBdr>
                    </w:div>
                  </w:divsChild>
                </w:div>
                <w:div w:id="1220747650">
                  <w:marLeft w:val="0"/>
                  <w:marRight w:val="0"/>
                  <w:marTop w:val="0"/>
                  <w:marBottom w:val="0"/>
                  <w:divBdr>
                    <w:top w:val="none" w:sz="0" w:space="0" w:color="auto"/>
                    <w:left w:val="none" w:sz="0" w:space="0" w:color="auto"/>
                    <w:bottom w:val="none" w:sz="0" w:space="0" w:color="auto"/>
                    <w:right w:val="none" w:sz="0" w:space="0" w:color="auto"/>
                  </w:divBdr>
                  <w:divsChild>
                    <w:div w:id="2067022507">
                      <w:marLeft w:val="0"/>
                      <w:marRight w:val="0"/>
                      <w:marTop w:val="0"/>
                      <w:marBottom w:val="0"/>
                      <w:divBdr>
                        <w:top w:val="none" w:sz="0" w:space="0" w:color="auto"/>
                        <w:left w:val="none" w:sz="0" w:space="0" w:color="auto"/>
                        <w:bottom w:val="none" w:sz="0" w:space="0" w:color="auto"/>
                        <w:right w:val="none" w:sz="0" w:space="0" w:color="auto"/>
                      </w:divBdr>
                    </w:div>
                  </w:divsChild>
                </w:div>
                <w:div w:id="123432007">
                  <w:marLeft w:val="0"/>
                  <w:marRight w:val="0"/>
                  <w:marTop w:val="0"/>
                  <w:marBottom w:val="0"/>
                  <w:divBdr>
                    <w:top w:val="none" w:sz="0" w:space="0" w:color="auto"/>
                    <w:left w:val="none" w:sz="0" w:space="0" w:color="auto"/>
                    <w:bottom w:val="none" w:sz="0" w:space="0" w:color="auto"/>
                    <w:right w:val="none" w:sz="0" w:space="0" w:color="auto"/>
                  </w:divBdr>
                  <w:divsChild>
                    <w:div w:id="2022927975">
                      <w:marLeft w:val="0"/>
                      <w:marRight w:val="0"/>
                      <w:marTop w:val="0"/>
                      <w:marBottom w:val="0"/>
                      <w:divBdr>
                        <w:top w:val="none" w:sz="0" w:space="0" w:color="auto"/>
                        <w:left w:val="none" w:sz="0" w:space="0" w:color="auto"/>
                        <w:bottom w:val="none" w:sz="0" w:space="0" w:color="auto"/>
                        <w:right w:val="none" w:sz="0" w:space="0" w:color="auto"/>
                      </w:divBdr>
                    </w:div>
                  </w:divsChild>
                </w:div>
                <w:div w:id="1639454103">
                  <w:marLeft w:val="0"/>
                  <w:marRight w:val="0"/>
                  <w:marTop w:val="0"/>
                  <w:marBottom w:val="0"/>
                  <w:divBdr>
                    <w:top w:val="none" w:sz="0" w:space="0" w:color="auto"/>
                    <w:left w:val="none" w:sz="0" w:space="0" w:color="auto"/>
                    <w:bottom w:val="none" w:sz="0" w:space="0" w:color="auto"/>
                    <w:right w:val="none" w:sz="0" w:space="0" w:color="auto"/>
                  </w:divBdr>
                  <w:divsChild>
                    <w:div w:id="300381909">
                      <w:marLeft w:val="0"/>
                      <w:marRight w:val="0"/>
                      <w:marTop w:val="0"/>
                      <w:marBottom w:val="0"/>
                      <w:divBdr>
                        <w:top w:val="none" w:sz="0" w:space="0" w:color="auto"/>
                        <w:left w:val="none" w:sz="0" w:space="0" w:color="auto"/>
                        <w:bottom w:val="none" w:sz="0" w:space="0" w:color="auto"/>
                        <w:right w:val="none" w:sz="0" w:space="0" w:color="auto"/>
                      </w:divBdr>
                    </w:div>
                  </w:divsChild>
                </w:div>
                <w:div w:id="1443302825">
                  <w:marLeft w:val="0"/>
                  <w:marRight w:val="0"/>
                  <w:marTop w:val="0"/>
                  <w:marBottom w:val="0"/>
                  <w:divBdr>
                    <w:top w:val="none" w:sz="0" w:space="0" w:color="auto"/>
                    <w:left w:val="none" w:sz="0" w:space="0" w:color="auto"/>
                    <w:bottom w:val="none" w:sz="0" w:space="0" w:color="auto"/>
                    <w:right w:val="none" w:sz="0" w:space="0" w:color="auto"/>
                  </w:divBdr>
                  <w:divsChild>
                    <w:div w:id="1338771802">
                      <w:marLeft w:val="0"/>
                      <w:marRight w:val="0"/>
                      <w:marTop w:val="0"/>
                      <w:marBottom w:val="0"/>
                      <w:divBdr>
                        <w:top w:val="none" w:sz="0" w:space="0" w:color="auto"/>
                        <w:left w:val="none" w:sz="0" w:space="0" w:color="auto"/>
                        <w:bottom w:val="none" w:sz="0" w:space="0" w:color="auto"/>
                        <w:right w:val="none" w:sz="0" w:space="0" w:color="auto"/>
                      </w:divBdr>
                    </w:div>
                  </w:divsChild>
                </w:div>
                <w:div w:id="1388257183">
                  <w:marLeft w:val="0"/>
                  <w:marRight w:val="0"/>
                  <w:marTop w:val="0"/>
                  <w:marBottom w:val="0"/>
                  <w:divBdr>
                    <w:top w:val="none" w:sz="0" w:space="0" w:color="auto"/>
                    <w:left w:val="none" w:sz="0" w:space="0" w:color="auto"/>
                    <w:bottom w:val="none" w:sz="0" w:space="0" w:color="auto"/>
                    <w:right w:val="none" w:sz="0" w:space="0" w:color="auto"/>
                  </w:divBdr>
                  <w:divsChild>
                    <w:div w:id="595598737">
                      <w:marLeft w:val="0"/>
                      <w:marRight w:val="0"/>
                      <w:marTop w:val="0"/>
                      <w:marBottom w:val="0"/>
                      <w:divBdr>
                        <w:top w:val="none" w:sz="0" w:space="0" w:color="auto"/>
                        <w:left w:val="none" w:sz="0" w:space="0" w:color="auto"/>
                        <w:bottom w:val="none" w:sz="0" w:space="0" w:color="auto"/>
                        <w:right w:val="none" w:sz="0" w:space="0" w:color="auto"/>
                      </w:divBdr>
                    </w:div>
                  </w:divsChild>
                </w:div>
                <w:div w:id="1114864356">
                  <w:marLeft w:val="0"/>
                  <w:marRight w:val="0"/>
                  <w:marTop w:val="0"/>
                  <w:marBottom w:val="0"/>
                  <w:divBdr>
                    <w:top w:val="none" w:sz="0" w:space="0" w:color="auto"/>
                    <w:left w:val="none" w:sz="0" w:space="0" w:color="auto"/>
                    <w:bottom w:val="none" w:sz="0" w:space="0" w:color="auto"/>
                    <w:right w:val="none" w:sz="0" w:space="0" w:color="auto"/>
                  </w:divBdr>
                  <w:divsChild>
                    <w:div w:id="766536420">
                      <w:marLeft w:val="0"/>
                      <w:marRight w:val="0"/>
                      <w:marTop w:val="0"/>
                      <w:marBottom w:val="0"/>
                      <w:divBdr>
                        <w:top w:val="none" w:sz="0" w:space="0" w:color="auto"/>
                        <w:left w:val="none" w:sz="0" w:space="0" w:color="auto"/>
                        <w:bottom w:val="none" w:sz="0" w:space="0" w:color="auto"/>
                        <w:right w:val="none" w:sz="0" w:space="0" w:color="auto"/>
                      </w:divBdr>
                    </w:div>
                  </w:divsChild>
                </w:div>
                <w:div w:id="1917744722">
                  <w:marLeft w:val="0"/>
                  <w:marRight w:val="0"/>
                  <w:marTop w:val="0"/>
                  <w:marBottom w:val="0"/>
                  <w:divBdr>
                    <w:top w:val="none" w:sz="0" w:space="0" w:color="auto"/>
                    <w:left w:val="none" w:sz="0" w:space="0" w:color="auto"/>
                    <w:bottom w:val="none" w:sz="0" w:space="0" w:color="auto"/>
                    <w:right w:val="none" w:sz="0" w:space="0" w:color="auto"/>
                  </w:divBdr>
                  <w:divsChild>
                    <w:div w:id="547886625">
                      <w:marLeft w:val="0"/>
                      <w:marRight w:val="0"/>
                      <w:marTop w:val="0"/>
                      <w:marBottom w:val="0"/>
                      <w:divBdr>
                        <w:top w:val="none" w:sz="0" w:space="0" w:color="auto"/>
                        <w:left w:val="none" w:sz="0" w:space="0" w:color="auto"/>
                        <w:bottom w:val="none" w:sz="0" w:space="0" w:color="auto"/>
                        <w:right w:val="none" w:sz="0" w:space="0" w:color="auto"/>
                      </w:divBdr>
                    </w:div>
                  </w:divsChild>
                </w:div>
                <w:div w:id="123280138">
                  <w:marLeft w:val="0"/>
                  <w:marRight w:val="0"/>
                  <w:marTop w:val="0"/>
                  <w:marBottom w:val="0"/>
                  <w:divBdr>
                    <w:top w:val="none" w:sz="0" w:space="0" w:color="auto"/>
                    <w:left w:val="none" w:sz="0" w:space="0" w:color="auto"/>
                    <w:bottom w:val="none" w:sz="0" w:space="0" w:color="auto"/>
                    <w:right w:val="none" w:sz="0" w:space="0" w:color="auto"/>
                  </w:divBdr>
                  <w:divsChild>
                    <w:div w:id="1326477560">
                      <w:marLeft w:val="0"/>
                      <w:marRight w:val="0"/>
                      <w:marTop w:val="0"/>
                      <w:marBottom w:val="0"/>
                      <w:divBdr>
                        <w:top w:val="none" w:sz="0" w:space="0" w:color="auto"/>
                        <w:left w:val="none" w:sz="0" w:space="0" w:color="auto"/>
                        <w:bottom w:val="none" w:sz="0" w:space="0" w:color="auto"/>
                        <w:right w:val="none" w:sz="0" w:space="0" w:color="auto"/>
                      </w:divBdr>
                    </w:div>
                  </w:divsChild>
                </w:div>
                <w:div w:id="2031447501">
                  <w:marLeft w:val="0"/>
                  <w:marRight w:val="0"/>
                  <w:marTop w:val="0"/>
                  <w:marBottom w:val="0"/>
                  <w:divBdr>
                    <w:top w:val="none" w:sz="0" w:space="0" w:color="auto"/>
                    <w:left w:val="none" w:sz="0" w:space="0" w:color="auto"/>
                    <w:bottom w:val="none" w:sz="0" w:space="0" w:color="auto"/>
                    <w:right w:val="none" w:sz="0" w:space="0" w:color="auto"/>
                  </w:divBdr>
                  <w:divsChild>
                    <w:div w:id="1432242304">
                      <w:marLeft w:val="0"/>
                      <w:marRight w:val="0"/>
                      <w:marTop w:val="0"/>
                      <w:marBottom w:val="0"/>
                      <w:divBdr>
                        <w:top w:val="none" w:sz="0" w:space="0" w:color="auto"/>
                        <w:left w:val="none" w:sz="0" w:space="0" w:color="auto"/>
                        <w:bottom w:val="none" w:sz="0" w:space="0" w:color="auto"/>
                        <w:right w:val="none" w:sz="0" w:space="0" w:color="auto"/>
                      </w:divBdr>
                    </w:div>
                  </w:divsChild>
                </w:div>
                <w:div w:id="296761372">
                  <w:marLeft w:val="0"/>
                  <w:marRight w:val="0"/>
                  <w:marTop w:val="0"/>
                  <w:marBottom w:val="0"/>
                  <w:divBdr>
                    <w:top w:val="none" w:sz="0" w:space="0" w:color="auto"/>
                    <w:left w:val="none" w:sz="0" w:space="0" w:color="auto"/>
                    <w:bottom w:val="none" w:sz="0" w:space="0" w:color="auto"/>
                    <w:right w:val="none" w:sz="0" w:space="0" w:color="auto"/>
                  </w:divBdr>
                  <w:divsChild>
                    <w:div w:id="1977643814">
                      <w:marLeft w:val="0"/>
                      <w:marRight w:val="0"/>
                      <w:marTop w:val="0"/>
                      <w:marBottom w:val="0"/>
                      <w:divBdr>
                        <w:top w:val="none" w:sz="0" w:space="0" w:color="auto"/>
                        <w:left w:val="none" w:sz="0" w:space="0" w:color="auto"/>
                        <w:bottom w:val="none" w:sz="0" w:space="0" w:color="auto"/>
                        <w:right w:val="none" w:sz="0" w:space="0" w:color="auto"/>
                      </w:divBdr>
                    </w:div>
                  </w:divsChild>
                </w:div>
                <w:div w:id="1321040747">
                  <w:marLeft w:val="0"/>
                  <w:marRight w:val="0"/>
                  <w:marTop w:val="0"/>
                  <w:marBottom w:val="0"/>
                  <w:divBdr>
                    <w:top w:val="none" w:sz="0" w:space="0" w:color="auto"/>
                    <w:left w:val="none" w:sz="0" w:space="0" w:color="auto"/>
                    <w:bottom w:val="none" w:sz="0" w:space="0" w:color="auto"/>
                    <w:right w:val="none" w:sz="0" w:space="0" w:color="auto"/>
                  </w:divBdr>
                  <w:divsChild>
                    <w:div w:id="827328284">
                      <w:marLeft w:val="0"/>
                      <w:marRight w:val="0"/>
                      <w:marTop w:val="0"/>
                      <w:marBottom w:val="0"/>
                      <w:divBdr>
                        <w:top w:val="none" w:sz="0" w:space="0" w:color="auto"/>
                        <w:left w:val="none" w:sz="0" w:space="0" w:color="auto"/>
                        <w:bottom w:val="none" w:sz="0" w:space="0" w:color="auto"/>
                        <w:right w:val="none" w:sz="0" w:space="0" w:color="auto"/>
                      </w:divBdr>
                    </w:div>
                  </w:divsChild>
                </w:div>
                <w:div w:id="1604145520">
                  <w:marLeft w:val="0"/>
                  <w:marRight w:val="0"/>
                  <w:marTop w:val="0"/>
                  <w:marBottom w:val="0"/>
                  <w:divBdr>
                    <w:top w:val="none" w:sz="0" w:space="0" w:color="auto"/>
                    <w:left w:val="none" w:sz="0" w:space="0" w:color="auto"/>
                    <w:bottom w:val="none" w:sz="0" w:space="0" w:color="auto"/>
                    <w:right w:val="none" w:sz="0" w:space="0" w:color="auto"/>
                  </w:divBdr>
                  <w:divsChild>
                    <w:div w:id="1518694200">
                      <w:marLeft w:val="0"/>
                      <w:marRight w:val="0"/>
                      <w:marTop w:val="0"/>
                      <w:marBottom w:val="0"/>
                      <w:divBdr>
                        <w:top w:val="none" w:sz="0" w:space="0" w:color="auto"/>
                        <w:left w:val="none" w:sz="0" w:space="0" w:color="auto"/>
                        <w:bottom w:val="none" w:sz="0" w:space="0" w:color="auto"/>
                        <w:right w:val="none" w:sz="0" w:space="0" w:color="auto"/>
                      </w:divBdr>
                    </w:div>
                  </w:divsChild>
                </w:div>
                <w:div w:id="1240286963">
                  <w:marLeft w:val="0"/>
                  <w:marRight w:val="0"/>
                  <w:marTop w:val="0"/>
                  <w:marBottom w:val="0"/>
                  <w:divBdr>
                    <w:top w:val="none" w:sz="0" w:space="0" w:color="auto"/>
                    <w:left w:val="none" w:sz="0" w:space="0" w:color="auto"/>
                    <w:bottom w:val="none" w:sz="0" w:space="0" w:color="auto"/>
                    <w:right w:val="none" w:sz="0" w:space="0" w:color="auto"/>
                  </w:divBdr>
                  <w:divsChild>
                    <w:div w:id="1660113621">
                      <w:marLeft w:val="0"/>
                      <w:marRight w:val="0"/>
                      <w:marTop w:val="0"/>
                      <w:marBottom w:val="0"/>
                      <w:divBdr>
                        <w:top w:val="none" w:sz="0" w:space="0" w:color="auto"/>
                        <w:left w:val="none" w:sz="0" w:space="0" w:color="auto"/>
                        <w:bottom w:val="none" w:sz="0" w:space="0" w:color="auto"/>
                        <w:right w:val="none" w:sz="0" w:space="0" w:color="auto"/>
                      </w:divBdr>
                    </w:div>
                  </w:divsChild>
                </w:div>
                <w:div w:id="1847285943">
                  <w:marLeft w:val="0"/>
                  <w:marRight w:val="0"/>
                  <w:marTop w:val="0"/>
                  <w:marBottom w:val="0"/>
                  <w:divBdr>
                    <w:top w:val="none" w:sz="0" w:space="0" w:color="auto"/>
                    <w:left w:val="none" w:sz="0" w:space="0" w:color="auto"/>
                    <w:bottom w:val="none" w:sz="0" w:space="0" w:color="auto"/>
                    <w:right w:val="none" w:sz="0" w:space="0" w:color="auto"/>
                  </w:divBdr>
                  <w:divsChild>
                    <w:div w:id="1744599248">
                      <w:marLeft w:val="0"/>
                      <w:marRight w:val="0"/>
                      <w:marTop w:val="0"/>
                      <w:marBottom w:val="0"/>
                      <w:divBdr>
                        <w:top w:val="none" w:sz="0" w:space="0" w:color="auto"/>
                        <w:left w:val="none" w:sz="0" w:space="0" w:color="auto"/>
                        <w:bottom w:val="none" w:sz="0" w:space="0" w:color="auto"/>
                        <w:right w:val="none" w:sz="0" w:space="0" w:color="auto"/>
                      </w:divBdr>
                    </w:div>
                  </w:divsChild>
                </w:div>
                <w:div w:id="1552810295">
                  <w:marLeft w:val="0"/>
                  <w:marRight w:val="0"/>
                  <w:marTop w:val="0"/>
                  <w:marBottom w:val="0"/>
                  <w:divBdr>
                    <w:top w:val="none" w:sz="0" w:space="0" w:color="auto"/>
                    <w:left w:val="none" w:sz="0" w:space="0" w:color="auto"/>
                    <w:bottom w:val="none" w:sz="0" w:space="0" w:color="auto"/>
                    <w:right w:val="none" w:sz="0" w:space="0" w:color="auto"/>
                  </w:divBdr>
                  <w:divsChild>
                    <w:div w:id="2137946852">
                      <w:marLeft w:val="0"/>
                      <w:marRight w:val="0"/>
                      <w:marTop w:val="0"/>
                      <w:marBottom w:val="0"/>
                      <w:divBdr>
                        <w:top w:val="none" w:sz="0" w:space="0" w:color="auto"/>
                        <w:left w:val="none" w:sz="0" w:space="0" w:color="auto"/>
                        <w:bottom w:val="none" w:sz="0" w:space="0" w:color="auto"/>
                        <w:right w:val="none" w:sz="0" w:space="0" w:color="auto"/>
                      </w:divBdr>
                    </w:div>
                    <w:div w:id="76724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179">
              <w:marLeft w:val="0"/>
              <w:marRight w:val="0"/>
              <w:marTop w:val="0"/>
              <w:marBottom w:val="0"/>
              <w:divBdr>
                <w:top w:val="none" w:sz="0" w:space="0" w:color="auto"/>
                <w:left w:val="none" w:sz="0" w:space="0" w:color="auto"/>
                <w:bottom w:val="none" w:sz="0" w:space="0" w:color="auto"/>
                <w:right w:val="none" w:sz="0" w:space="0" w:color="auto"/>
              </w:divBdr>
              <w:divsChild>
                <w:div w:id="1139221723">
                  <w:marLeft w:val="0"/>
                  <w:marRight w:val="0"/>
                  <w:marTop w:val="0"/>
                  <w:marBottom w:val="0"/>
                  <w:divBdr>
                    <w:top w:val="none" w:sz="0" w:space="0" w:color="auto"/>
                    <w:left w:val="none" w:sz="0" w:space="0" w:color="auto"/>
                    <w:bottom w:val="none" w:sz="0" w:space="0" w:color="auto"/>
                    <w:right w:val="none" w:sz="0" w:space="0" w:color="auto"/>
                  </w:divBdr>
                </w:div>
                <w:div w:id="107048905">
                  <w:marLeft w:val="0"/>
                  <w:marRight w:val="0"/>
                  <w:marTop w:val="0"/>
                  <w:marBottom w:val="0"/>
                  <w:divBdr>
                    <w:top w:val="none" w:sz="0" w:space="0" w:color="auto"/>
                    <w:left w:val="none" w:sz="0" w:space="0" w:color="auto"/>
                    <w:bottom w:val="none" w:sz="0" w:space="0" w:color="auto"/>
                    <w:right w:val="none" w:sz="0" w:space="0" w:color="auto"/>
                  </w:divBdr>
                </w:div>
              </w:divsChild>
            </w:div>
            <w:div w:id="504789645">
              <w:marLeft w:val="0"/>
              <w:marRight w:val="0"/>
              <w:marTop w:val="0"/>
              <w:marBottom w:val="0"/>
              <w:divBdr>
                <w:top w:val="none" w:sz="0" w:space="0" w:color="auto"/>
                <w:left w:val="none" w:sz="0" w:space="0" w:color="auto"/>
                <w:bottom w:val="none" w:sz="0" w:space="0" w:color="auto"/>
                <w:right w:val="none" w:sz="0" w:space="0" w:color="auto"/>
              </w:divBdr>
              <w:divsChild>
                <w:div w:id="1406490630">
                  <w:marLeft w:val="0"/>
                  <w:marRight w:val="0"/>
                  <w:marTop w:val="0"/>
                  <w:marBottom w:val="0"/>
                  <w:divBdr>
                    <w:top w:val="none" w:sz="0" w:space="0" w:color="auto"/>
                    <w:left w:val="none" w:sz="0" w:space="0" w:color="auto"/>
                    <w:bottom w:val="none" w:sz="0" w:space="0" w:color="auto"/>
                    <w:right w:val="none" w:sz="0" w:space="0" w:color="auto"/>
                  </w:divBdr>
                </w:div>
                <w:div w:id="2141267054">
                  <w:marLeft w:val="0"/>
                  <w:marRight w:val="0"/>
                  <w:marTop w:val="0"/>
                  <w:marBottom w:val="0"/>
                  <w:divBdr>
                    <w:top w:val="none" w:sz="0" w:space="0" w:color="auto"/>
                    <w:left w:val="none" w:sz="0" w:space="0" w:color="auto"/>
                    <w:bottom w:val="none" w:sz="0" w:space="0" w:color="auto"/>
                    <w:right w:val="none" w:sz="0" w:space="0" w:color="auto"/>
                  </w:divBdr>
                </w:div>
              </w:divsChild>
            </w:div>
            <w:div w:id="84351678">
              <w:marLeft w:val="0"/>
              <w:marRight w:val="0"/>
              <w:marTop w:val="0"/>
              <w:marBottom w:val="0"/>
              <w:divBdr>
                <w:top w:val="none" w:sz="0" w:space="0" w:color="auto"/>
                <w:left w:val="none" w:sz="0" w:space="0" w:color="auto"/>
                <w:bottom w:val="none" w:sz="0" w:space="0" w:color="auto"/>
                <w:right w:val="none" w:sz="0" w:space="0" w:color="auto"/>
              </w:divBdr>
              <w:divsChild>
                <w:div w:id="808282793">
                  <w:marLeft w:val="0"/>
                  <w:marRight w:val="0"/>
                  <w:marTop w:val="0"/>
                  <w:marBottom w:val="0"/>
                  <w:divBdr>
                    <w:top w:val="none" w:sz="0" w:space="0" w:color="auto"/>
                    <w:left w:val="none" w:sz="0" w:space="0" w:color="auto"/>
                    <w:bottom w:val="none" w:sz="0" w:space="0" w:color="auto"/>
                    <w:right w:val="none" w:sz="0" w:space="0" w:color="auto"/>
                  </w:divBdr>
                </w:div>
                <w:div w:id="18564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69861">
      <w:bodyDiv w:val="1"/>
      <w:marLeft w:val="0"/>
      <w:marRight w:val="0"/>
      <w:marTop w:val="0"/>
      <w:marBottom w:val="0"/>
      <w:divBdr>
        <w:top w:val="none" w:sz="0" w:space="0" w:color="auto"/>
        <w:left w:val="none" w:sz="0" w:space="0" w:color="auto"/>
        <w:bottom w:val="none" w:sz="0" w:space="0" w:color="auto"/>
        <w:right w:val="none" w:sz="0" w:space="0" w:color="auto"/>
      </w:divBdr>
      <w:divsChild>
        <w:div w:id="1191921334">
          <w:marLeft w:val="0"/>
          <w:marRight w:val="0"/>
          <w:marTop w:val="0"/>
          <w:marBottom w:val="0"/>
          <w:divBdr>
            <w:top w:val="none" w:sz="0" w:space="0" w:color="auto"/>
            <w:left w:val="none" w:sz="0" w:space="0" w:color="auto"/>
            <w:bottom w:val="none" w:sz="0" w:space="0" w:color="auto"/>
            <w:right w:val="none" w:sz="0" w:space="0" w:color="auto"/>
          </w:divBdr>
          <w:divsChild>
            <w:div w:id="731654639">
              <w:marLeft w:val="0"/>
              <w:marRight w:val="0"/>
              <w:marTop w:val="0"/>
              <w:marBottom w:val="0"/>
              <w:divBdr>
                <w:top w:val="none" w:sz="0" w:space="0" w:color="auto"/>
                <w:left w:val="none" w:sz="0" w:space="0" w:color="auto"/>
                <w:bottom w:val="none" w:sz="0" w:space="0" w:color="auto"/>
                <w:right w:val="none" w:sz="0" w:space="0" w:color="auto"/>
              </w:divBdr>
              <w:divsChild>
                <w:div w:id="13041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12140">
      <w:bodyDiv w:val="1"/>
      <w:marLeft w:val="0"/>
      <w:marRight w:val="0"/>
      <w:marTop w:val="0"/>
      <w:marBottom w:val="0"/>
      <w:divBdr>
        <w:top w:val="none" w:sz="0" w:space="0" w:color="auto"/>
        <w:left w:val="none" w:sz="0" w:space="0" w:color="auto"/>
        <w:bottom w:val="none" w:sz="0" w:space="0" w:color="auto"/>
        <w:right w:val="none" w:sz="0" w:space="0" w:color="auto"/>
      </w:divBdr>
      <w:divsChild>
        <w:div w:id="36782444">
          <w:marLeft w:val="0"/>
          <w:marRight w:val="0"/>
          <w:marTop w:val="0"/>
          <w:marBottom w:val="0"/>
          <w:divBdr>
            <w:top w:val="none" w:sz="0" w:space="0" w:color="auto"/>
            <w:left w:val="none" w:sz="0" w:space="0" w:color="auto"/>
            <w:bottom w:val="none" w:sz="0" w:space="0" w:color="auto"/>
            <w:right w:val="none" w:sz="0" w:space="0" w:color="auto"/>
          </w:divBdr>
          <w:divsChild>
            <w:div w:id="391391899">
              <w:marLeft w:val="0"/>
              <w:marRight w:val="0"/>
              <w:marTop w:val="0"/>
              <w:marBottom w:val="0"/>
              <w:divBdr>
                <w:top w:val="none" w:sz="0" w:space="0" w:color="auto"/>
                <w:left w:val="none" w:sz="0" w:space="0" w:color="auto"/>
                <w:bottom w:val="none" w:sz="0" w:space="0" w:color="auto"/>
                <w:right w:val="none" w:sz="0" w:space="0" w:color="auto"/>
              </w:divBdr>
              <w:divsChild>
                <w:div w:id="17942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212884">
      <w:bodyDiv w:val="1"/>
      <w:marLeft w:val="0"/>
      <w:marRight w:val="0"/>
      <w:marTop w:val="0"/>
      <w:marBottom w:val="0"/>
      <w:divBdr>
        <w:top w:val="none" w:sz="0" w:space="0" w:color="auto"/>
        <w:left w:val="none" w:sz="0" w:space="0" w:color="auto"/>
        <w:bottom w:val="none" w:sz="0" w:space="0" w:color="auto"/>
        <w:right w:val="none" w:sz="0" w:space="0" w:color="auto"/>
      </w:divBdr>
      <w:divsChild>
        <w:div w:id="1864514023">
          <w:marLeft w:val="0"/>
          <w:marRight w:val="0"/>
          <w:marTop w:val="0"/>
          <w:marBottom w:val="0"/>
          <w:divBdr>
            <w:top w:val="none" w:sz="0" w:space="0" w:color="auto"/>
            <w:left w:val="none" w:sz="0" w:space="0" w:color="auto"/>
            <w:bottom w:val="none" w:sz="0" w:space="0" w:color="auto"/>
            <w:right w:val="none" w:sz="0" w:space="0" w:color="auto"/>
          </w:divBdr>
          <w:divsChild>
            <w:div w:id="1172260872">
              <w:marLeft w:val="0"/>
              <w:marRight w:val="0"/>
              <w:marTop w:val="0"/>
              <w:marBottom w:val="0"/>
              <w:divBdr>
                <w:top w:val="none" w:sz="0" w:space="0" w:color="auto"/>
                <w:left w:val="none" w:sz="0" w:space="0" w:color="auto"/>
                <w:bottom w:val="none" w:sz="0" w:space="0" w:color="auto"/>
                <w:right w:val="none" w:sz="0" w:space="0" w:color="auto"/>
              </w:divBdr>
              <w:divsChild>
                <w:div w:id="17429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14631">
      <w:bodyDiv w:val="1"/>
      <w:marLeft w:val="0"/>
      <w:marRight w:val="0"/>
      <w:marTop w:val="0"/>
      <w:marBottom w:val="0"/>
      <w:divBdr>
        <w:top w:val="none" w:sz="0" w:space="0" w:color="auto"/>
        <w:left w:val="none" w:sz="0" w:space="0" w:color="auto"/>
        <w:bottom w:val="none" w:sz="0" w:space="0" w:color="auto"/>
        <w:right w:val="none" w:sz="0" w:space="0" w:color="auto"/>
      </w:divBdr>
      <w:divsChild>
        <w:div w:id="1460873501">
          <w:marLeft w:val="0"/>
          <w:marRight w:val="0"/>
          <w:marTop w:val="0"/>
          <w:marBottom w:val="0"/>
          <w:divBdr>
            <w:top w:val="none" w:sz="0" w:space="0" w:color="auto"/>
            <w:left w:val="none" w:sz="0" w:space="0" w:color="auto"/>
            <w:bottom w:val="none" w:sz="0" w:space="0" w:color="auto"/>
            <w:right w:val="none" w:sz="0" w:space="0" w:color="auto"/>
          </w:divBdr>
          <w:divsChild>
            <w:div w:id="1744177185">
              <w:marLeft w:val="0"/>
              <w:marRight w:val="0"/>
              <w:marTop w:val="0"/>
              <w:marBottom w:val="0"/>
              <w:divBdr>
                <w:top w:val="none" w:sz="0" w:space="0" w:color="auto"/>
                <w:left w:val="none" w:sz="0" w:space="0" w:color="auto"/>
                <w:bottom w:val="none" w:sz="0" w:space="0" w:color="auto"/>
                <w:right w:val="none" w:sz="0" w:space="0" w:color="auto"/>
              </w:divBdr>
              <w:divsChild>
                <w:div w:id="20703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558433">
      <w:bodyDiv w:val="1"/>
      <w:marLeft w:val="0"/>
      <w:marRight w:val="0"/>
      <w:marTop w:val="0"/>
      <w:marBottom w:val="0"/>
      <w:divBdr>
        <w:top w:val="none" w:sz="0" w:space="0" w:color="auto"/>
        <w:left w:val="none" w:sz="0" w:space="0" w:color="auto"/>
        <w:bottom w:val="none" w:sz="0" w:space="0" w:color="auto"/>
        <w:right w:val="none" w:sz="0" w:space="0" w:color="auto"/>
      </w:divBdr>
      <w:divsChild>
        <w:div w:id="197670712">
          <w:marLeft w:val="0"/>
          <w:marRight w:val="0"/>
          <w:marTop w:val="0"/>
          <w:marBottom w:val="0"/>
          <w:divBdr>
            <w:top w:val="none" w:sz="0" w:space="0" w:color="auto"/>
            <w:left w:val="none" w:sz="0" w:space="0" w:color="auto"/>
            <w:bottom w:val="none" w:sz="0" w:space="0" w:color="auto"/>
            <w:right w:val="none" w:sz="0" w:space="0" w:color="auto"/>
          </w:divBdr>
          <w:divsChild>
            <w:div w:id="1923828438">
              <w:marLeft w:val="0"/>
              <w:marRight w:val="0"/>
              <w:marTop w:val="0"/>
              <w:marBottom w:val="0"/>
              <w:divBdr>
                <w:top w:val="none" w:sz="0" w:space="0" w:color="auto"/>
                <w:left w:val="none" w:sz="0" w:space="0" w:color="auto"/>
                <w:bottom w:val="none" w:sz="0" w:space="0" w:color="auto"/>
                <w:right w:val="none" w:sz="0" w:space="0" w:color="auto"/>
              </w:divBdr>
              <w:divsChild>
                <w:div w:id="293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7922">
      <w:bodyDiv w:val="1"/>
      <w:marLeft w:val="0"/>
      <w:marRight w:val="0"/>
      <w:marTop w:val="0"/>
      <w:marBottom w:val="0"/>
      <w:divBdr>
        <w:top w:val="none" w:sz="0" w:space="0" w:color="auto"/>
        <w:left w:val="none" w:sz="0" w:space="0" w:color="auto"/>
        <w:bottom w:val="none" w:sz="0" w:space="0" w:color="auto"/>
        <w:right w:val="none" w:sz="0" w:space="0" w:color="auto"/>
      </w:divBdr>
      <w:divsChild>
        <w:div w:id="1367174511">
          <w:marLeft w:val="0"/>
          <w:marRight w:val="0"/>
          <w:marTop w:val="0"/>
          <w:marBottom w:val="0"/>
          <w:divBdr>
            <w:top w:val="none" w:sz="0" w:space="0" w:color="auto"/>
            <w:left w:val="none" w:sz="0" w:space="0" w:color="auto"/>
            <w:bottom w:val="none" w:sz="0" w:space="0" w:color="auto"/>
            <w:right w:val="none" w:sz="0" w:space="0" w:color="auto"/>
          </w:divBdr>
          <w:divsChild>
            <w:div w:id="2030712985">
              <w:marLeft w:val="0"/>
              <w:marRight w:val="0"/>
              <w:marTop w:val="0"/>
              <w:marBottom w:val="0"/>
              <w:divBdr>
                <w:top w:val="none" w:sz="0" w:space="0" w:color="auto"/>
                <w:left w:val="none" w:sz="0" w:space="0" w:color="auto"/>
                <w:bottom w:val="none" w:sz="0" w:space="0" w:color="auto"/>
                <w:right w:val="none" w:sz="0" w:space="0" w:color="auto"/>
              </w:divBdr>
              <w:divsChild>
                <w:div w:id="132377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82134">
      <w:bodyDiv w:val="1"/>
      <w:marLeft w:val="0"/>
      <w:marRight w:val="0"/>
      <w:marTop w:val="0"/>
      <w:marBottom w:val="0"/>
      <w:divBdr>
        <w:top w:val="none" w:sz="0" w:space="0" w:color="auto"/>
        <w:left w:val="none" w:sz="0" w:space="0" w:color="auto"/>
        <w:bottom w:val="none" w:sz="0" w:space="0" w:color="auto"/>
        <w:right w:val="none" w:sz="0" w:space="0" w:color="auto"/>
      </w:divBdr>
      <w:divsChild>
        <w:div w:id="247806963">
          <w:marLeft w:val="0"/>
          <w:marRight w:val="0"/>
          <w:marTop w:val="0"/>
          <w:marBottom w:val="0"/>
          <w:divBdr>
            <w:top w:val="none" w:sz="0" w:space="0" w:color="auto"/>
            <w:left w:val="none" w:sz="0" w:space="0" w:color="auto"/>
            <w:bottom w:val="none" w:sz="0" w:space="0" w:color="auto"/>
            <w:right w:val="none" w:sz="0" w:space="0" w:color="auto"/>
          </w:divBdr>
          <w:divsChild>
            <w:div w:id="55706675">
              <w:marLeft w:val="0"/>
              <w:marRight w:val="0"/>
              <w:marTop w:val="0"/>
              <w:marBottom w:val="0"/>
              <w:divBdr>
                <w:top w:val="none" w:sz="0" w:space="0" w:color="auto"/>
                <w:left w:val="none" w:sz="0" w:space="0" w:color="auto"/>
                <w:bottom w:val="none" w:sz="0" w:space="0" w:color="auto"/>
                <w:right w:val="none" w:sz="0" w:space="0" w:color="auto"/>
              </w:divBdr>
              <w:divsChild>
                <w:div w:id="1025911434">
                  <w:marLeft w:val="0"/>
                  <w:marRight w:val="0"/>
                  <w:marTop w:val="0"/>
                  <w:marBottom w:val="0"/>
                  <w:divBdr>
                    <w:top w:val="none" w:sz="0" w:space="0" w:color="auto"/>
                    <w:left w:val="none" w:sz="0" w:space="0" w:color="auto"/>
                    <w:bottom w:val="none" w:sz="0" w:space="0" w:color="auto"/>
                    <w:right w:val="none" w:sz="0" w:space="0" w:color="auto"/>
                  </w:divBdr>
                  <w:divsChild>
                    <w:div w:id="10556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586648">
      <w:bodyDiv w:val="1"/>
      <w:marLeft w:val="0"/>
      <w:marRight w:val="0"/>
      <w:marTop w:val="0"/>
      <w:marBottom w:val="0"/>
      <w:divBdr>
        <w:top w:val="none" w:sz="0" w:space="0" w:color="auto"/>
        <w:left w:val="none" w:sz="0" w:space="0" w:color="auto"/>
        <w:bottom w:val="none" w:sz="0" w:space="0" w:color="auto"/>
        <w:right w:val="none" w:sz="0" w:space="0" w:color="auto"/>
      </w:divBdr>
      <w:divsChild>
        <w:div w:id="1011880844">
          <w:marLeft w:val="0"/>
          <w:marRight w:val="0"/>
          <w:marTop w:val="0"/>
          <w:marBottom w:val="0"/>
          <w:divBdr>
            <w:top w:val="none" w:sz="0" w:space="0" w:color="auto"/>
            <w:left w:val="none" w:sz="0" w:space="0" w:color="auto"/>
            <w:bottom w:val="none" w:sz="0" w:space="0" w:color="auto"/>
            <w:right w:val="none" w:sz="0" w:space="0" w:color="auto"/>
          </w:divBdr>
          <w:divsChild>
            <w:div w:id="1436363494">
              <w:marLeft w:val="0"/>
              <w:marRight w:val="0"/>
              <w:marTop w:val="0"/>
              <w:marBottom w:val="0"/>
              <w:divBdr>
                <w:top w:val="none" w:sz="0" w:space="0" w:color="auto"/>
                <w:left w:val="none" w:sz="0" w:space="0" w:color="auto"/>
                <w:bottom w:val="none" w:sz="0" w:space="0" w:color="auto"/>
                <w:right w:val="none" w:sz="0" w:space="0" w:color="auto"/>
              </w:divBdr>
              <w:divsChild>
                <w:div w:id="599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34109">
      <w:bodyDiv w:val="1"/>
      <w:marLeft w:val="0"/>
      <w:marRight w:val="0"/>
      <w:marTop w:val="0"/>
      <w:marBottom w:val="0"/>
      <w:divBdr>
        <w:top w:val="none" w:sz="0" w:space="0" w:color="auto"/>
        <w:left w:val="none" w:sz="0" w:space="0" w:color="auto"/>
        <w:bottom w:val="none" w:sz="0" w:space="0" w:color="auto"/>
        <w:right w:val="none" w:sz="0" w:space="0" w:color="auto"/>
      </w:divBdr>
      <w:divsChild>
        <w:div w:id="1079208493">
          <w:marLeft w:val="0"/>
          <w:marRight w:val="0"/>
          <w:marTop w:val="0"/>
          <w:marBottom w:val="0"/>
          <w:divBdr>
            <w:top w:val="none" w:sz="0" w:space="0" w:color="auto"/>
            <w:left w:val="none" w:sz="0" w:space="0" w:color="auto"/>
            <w:bottom w:val="none" w:sz="0" w:space="0" w:color="auto"/>
            <w:right w:val="none" w:sz="0" w:space="0" w:color="auto"/>
          </w:divBdr>
          <w:divsChild>
            <w:div w:id="261650435">
              <w:marLeft w:val="0"/>
              <w:marRight w:val="0"/>
              <w:marTop w:val="0"/>
              <w:marBottom w:val="0"/>
              <w:divBdr>
                <w:top w:val="none" w:sz="0" w:space="0" w:color="auto"/>
                <w:left w:val="none" w:sz="0" w:space="0" w:color="auto"/>
                <w:bottom w:val="none" w:sz="0" w:space="0" w:color="auto"/>
                <w:right w:val="none" w:sz="0" w:space="0" w:color="auto"/>
              </w:divBdr>
              <w:divsChild>
                <w:div w:id="17251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6502">
      <w:bodyDiv w:val="1"/>
      <w:marLeft w:val="0"/>
      <w:marRight w:val="0"/>
      <w:marTop w:val="0"/>
      <w:marBottom w:val="0"/>
      <w:divBdr>
        <w:top w:val="none" w:sz="0" w:space="0" w:color="auto"/>
        <w:left w:val="none" w:sz="0" w:space="0" w:color="auto"/>
        <w:bottom w:val="none" w:sz="0" w:space="0" w:color="auto"/>
        <w:right w:val="none" w:sz="0" w:space="0" w:color="auto"/>
      </w:divBdr>
      <w:divsChild>
        <w:div w:id="1412654093">
          <w:marLeft w:val="0"/>
          <w:marRight w:val="0"/>
          <w:marTop w:val="0"/>
          <w:marBottom w:val="0"/>
          <w:divBdr>
            <w:top w:val="none" w:sz="0" w:space="0" w:color="auto"/>
            <w:left w:val="none" w:sz="0" w:space="0" w:color="auto"/>
            <w:bottom w:val="none" w:sz="0" w:space="0" w:color="auto"/>
            <w:right w:val="none" w:sz="0" w:space="0" w:color="auto"/>
          </w:divBdr>
          <w:divsChild>
            <w:div w:id="1040742170">
              <w:marLeft w:val="0"/>
              <w:marRight w:val="0"/>
              <w:marTop w:val="0"/>
              <w:marBottom w:val="0"/>
              <w:divBdr>
                <w:top w:val="none" w:sz="0" w:space="0" w:color="auto"/>
                <w:left w:val="none" w:sz="0" w:space="0" w:color="auto"/>
                <w:bottom w:val="none" w:sz="0" w:space="0" w:color="auto"/>
                <w:right w:val="none" w:sz="0" w:space="0" w:color="auto"/>
              </w:divBdr>
              <w:divsChild>
                <w:div w:id="675157158">
                  <w:marLeft w:val="0"/>
                  <w:marRight w:val="0"/>
                  <w:marTop w:val="0"/>
                  <w:marBottom w:val="0"/>
                  <w:divBdr>
                    <w:top w:val="none" w:sz="0" w:space="0" w:color="auto"/>
                    <w:left w:val="none" w:sz="0" w:space="0" w:color="auto"/>
                    <w:bottom w:val="none" w:sz="0" w:space="0" w:color="auto"/>
                    <w:right w:val="none" w:sz="0" w:space="0" w:color="auto"/>
                  </w:divBdr>
                  <w:divsChild>
                    <w:div w:id="2763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39733">
      <w:bodyDiv w:val="1"/>
      <w:marLeft w:val="0"/>
      <w:marRight w:val="0"/>
      <w:marTop w:val="0"/>
      <w:marBottom w:val="0"/>
      <w:divBdr>
        <w:top w:val="none" w:sz="0" w:space="0" w:color="auto"/>
        <w:left w:val="none" w:sz="0" w:space="0" w:color="auto"/>
        <w:bottom w:val="none" w:sz="0" w:space="0" w:color="auto"/>
        <w:right w:val="none" w:sz="0" w:space="0" w:color="auto"/>
      </w:divBdr>
      <w:divsChild>
        <w:div w:id="2017074971">
          <w:marLeft w:val="0"/>
          <w:marRight w:val="0"/>
          <w:marTop w:val="0"/>
          <w:marBottom w:val="0"/>
          <w:divBdr>
            <w:top w:val="none" w:sz="0" w:space="0" w:color="auto"/>
            <w:left w:val="none" w:sz="0" w:space="0" w:color="auto"/>
            <w:bottom w:val="none" w:sz="0" w:space="0" w:color="auto"/>
            <w:right w:val="none" w:sz="0" w:space="0" w:color="auto"/>
          </w:divBdr>
          <w:divsChild>
            <w:div w:id="1705321781">
              <w:marLeft w:val="0"/>
              <w:marRight w:val="0"/>
              <w:marTop w:val="0"/>
              <w:marBottom w:val="0"/>
              <w:divBdr>
                <w:top w:val="none" w:sz="0" w:space="0" w:color="auto"/>
                <w:left w:val="none" w:sz="0" w:space="0" w:color="auto"/>
                <w:bottom w:val="none" w:sz="0" w:space="0" w:color="auto"/>
                <w:right w:val="none" w:sz="0" w:space="0" w:color="auto"/>
              </w:divBdr>
              <w:divsChild>
                <w:div w:id="8728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866188">
      <w:bodyDiv w:val="1"/>
      <w:marLeft w:val="0"/>
      <w:marRight w:val="0"/>
      <w:marTop w:val="0"/>
      <w:marBottom w:val="0"/>
      <w:divBdr>
        <w:top w:val="none" w:sz="0" w:space="0" w:color="auto"/>
        <w:left w:val="none" w:sz="0" w:space="0" w:color="auto"/>
        <w:bottom w:val="none" w:sz="0" w:space="0" w:color="auto"/>
        <w:right w:val="none" w:sz="0" w:space="0" w:color="auto"/>
      </w:divBdr>
      <w:divsChild>
        <w:div w:id="1749957849">
          <w:marLeft w:val="0"/>
          <w:marRight w:val="0"/>
          <w:marTop w:val="0"/>
          <w:marBottom w:val="0"/>
          <w:divBdr>
            <w:top w:val="none" w:sz="0" w:space="0" w:color="auto"/>
            <w:left w:val="none" w:sz="0" w:space="0" w:color="auto"/>
            <w:bottom w:val="none" w:sz="0" w:space="0" w:color="auto"/>
            <w:right w:val="none" w:sz="0" w:space="0" w:color="auto"/>
          </w:divBdr>
          <w:divsChild>
            <w:div w:id="555162588">
              <w:marLeft w:val="0"/>
              <w:marRight w:val="0"/>
              <w:marTop w:val="0"/>
              <w:marBottom w:val="0"/>
              <w:divBdr>
                <w:top w:val="none" w:sz="0" w:space="0" w:color="auto"/>
                <w:left w:val="none" w:sz="0" w:space="0" w:color="auto"/>
                <w:bottom w:val="none" w:sz="0" w:space="0" w:color="auto"/>
                <w:right w:val="none" w:sz="0" w:space="0" w:color="auto"/>
              </w:divBdr>
              <w:divsChild>
                <w:div w:id="13317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940440">
      <w:bodyDiv w:val="1"/>
      <w:marLeft w:val="0"/>
      <w:marRight w:val="0"/>
      <w:marTop w:val="0"/>
      <w:marBottom w:val="0"/>
      <w:divBdr>
        <w:top w:val="none" w:sz="0" w:space="0" w:color="auto"/>
        <w:left w:val="none" w:sz="0" w:space="0" w:color="auto"/>
        <w:bottom w:val="none" w:sz="0" w:space="0" w:color="auto"/>
        <w:right w:val="none" w:sz="0" w:space="0" w:color="auto"/>
      </w:divBdr>
    </w:div>
    <w:div w:id="1832482175">
      <w:bodyDiv w:val="1"/>
      <w:marLeft w:val="0"/>
      <w:marRight w:val="0"/>
      <w:marTop w:val="0"/>
      <w:marBottom w:val="0"/>
      <w:divBdr>
        <w:top w:val="none" w:sz="0" w:space="0" w:color="auto"/>
        <w:left w:val="none" w:sz="0" w:space="0" w:color="auto"/>
        <w:bottom w:val="none" w:sz="0" w:space="0" w:color="auto"/>
        <w:right w:val="none" w:sz="0" w:space="0" w:color="auto"/>
      </w:divBdr>
      <w:divsChild>
        <w:div w:id="1376739875">
          <w:marLeft w:val="0"/>
          <w:marRight w:val="0"/>
          <w:marTop w:val="0"/>
          <w:marBottom w:val="0"/>
          <w:divBdr>
            <w:top w:val="none" w:sz="0" w:space="0" w:color="auto"/>
            <w:left w:val="none" w:sz="0" w:space="0" w:color="auto"/>
            <w:bottom w:val="none" w:sz="0" w:space="0" w:color="auto"/>
            <w:right w:val="none" w:sz="0" w:space="0" w:color="auto"/>
          </w:divBdr>
          <w:divsChild>
            <w:div w:id="158886718">
              <w:marLeft w:val="0"/>
              <w:marRight w:val="0"/>
              <w:marTop w:val="0"/>
              <w:marBottom w:val="0"/>
              <w:divBdr>
                <w:top w:val="none" w:sz="0" w:space="0" w:color="auto"/>
                <w:left w:val="none" w:sz="0" w:space="0" w:color="auto"/>
                <w:bottom w:val="none" w:sz="0" w:space="0" w:color="auto"/>
                <w:right w:val="none" w:sz="0" w:space="0" w:color="auto"/>
              </w:divBdr>
              <w:divsChild>
                <w:div w:id="7108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49200">
      <w:bodyDiv w:val="1"/>
      <w:marLeft w:val="0"/>
      <w:marRight w:val="0"/>
      <w:marTop w:val="0"/>
      <w:marBottom w:val="0"/>
      <w:divBdr>
        <w:top w:val="none" w:sz="0" w:space="0" w:color="auto"/>
        <w:left w:val="none" w:sz="0" w:space="0" w:color="auto"/>
        <w:bottom w:val="none" w:sz="0" w:space="0" w:color="auto"/>
        <w:right w:val="none" w:sz="0" w:space="0" w:color="auto"/>
      </w:divBdr>
      <w:divsChild>
        <w:div w:id="1849172240">
          <w:marLeft w:val="0"/>
          <w:marRight w:val="0"/>
          <w:marTop w:val="0"/>
          <w:marBottom w:val="0"/>
          <w:divBdr>
            <w:top w:val="none" w:sz="0" w:space="0" w:color="auto"/>
            <w:left w:val="none" w:sz="0" w:space="0" w:color="auto"/>
            <w:bottom w:val="none" w:sz="0" w:space="0" w:color="auto"/>
            <w:right w:val="none" w:sz="0" w:space="0" w:color="auto"/>
          </w:divBdr>
          <w:divsChild>
            <w:div w:id="92896745">
              <w:marLeft w:val="0"/>
              <w:marRight w:val="0"/>
              <w:marTop w:val="0"/>
              <w:marBottom w:val="0"/>
              <w:divBdr>
                <w:top w:val="none" w:sz="0" w:space="0" w:color="auto"/>
                <w:left w:val="none" w:sz="0" w:space="0" w:color="auto"/>
                <w:bottom w:val="none" w:sz="0" w:space="0" w:color="auto"/>
                <w:right w:val="none" w:sz="0" w:space="0" w:color="auto"/>
              </w:divBdr>
              <w:divsChild>
                <w:div w:id="5759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81884">
      <w:bodyDiv w:val="1"/>
      <w:marLeft w:val="0"/>
      <w:marRight w:val="0"/>
      <w:marTop w:val="0"/>
      <w:marBottom w:val="0"/>
      <w:divBdr>
        <w:top w:val="none" w:sz="0" w:space="0" w:color="auto"/>
        <w:left w:val="none" w:sz="0" w:space="0" w:color="auto"/>
        <w:bottom w:val="none" w:sz="0" w:space="0" w:color="auto"/>
        <w:right w:val="none" w:sz="0" w:space="0" w:color="auto"/>
      </w:divBdr>
      <w:divsChild>
        <w:div w:id="7025227">
          <w:marLeft w:val="0"/>
          <w:marRight w:val="0"/>
          <w:marTop w:val="0"/>
          <w:marBottom w:val="0"/>
          <w:divBdr>
            <w:top w:val="none" w:sz="0" w:space="0" w:color="auto"/>
            <w:left w:val="none" w:sz="0" w:space="0" w:color="auto"/>
            <w:bottom w:val="none" w:sz="0" w:space="0" w:color="auto"/>
            <w:right w:val="none" w:sz="0" w:space="0" w:color="auto"/>
          </w:divBdr>
          <w:divsChild>
            <w:div w:id="810903125">
              <w:marLeft w:val="0"/>
              <w:marRight w:val="0"/>
              <w:marTop w:val="0"/>
              <w:marBottom w:val="0"/>
              <w:divBdr>
                <w:top w:val="none" w:sz="0" w:space="0" w:color="auto"/>
                <w:left w:val="none" w:sz="0" w:space="0" w:color="auto"/>
                <w:bottom w:val="none" w:sz="0" w:space="0" w:color="auto"/>
                <w:right w:val="none" w:sz="0" w:space="0" w:color="auto"/>
              </w:divBdr>
              <w:divsChild>
                <w:div w:id="136794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731646">
      <w:bodyDiv w:val="1"/>
      <w:marLeft w:val="0"/>
      <w:marRight w:val="0"/>
      <w:marTop w:val="0"/>
      <w:marBottom w:val="0"/>
      <w:divBdr>
        <w:top w:val="none" w:sz="0" w:space="0" w:color="auto"/>
        <w:left w:val="none" w:sz="0" w:space="0" w:color="auto"/>
        <w:bottom w:val="none" w:sz="0" w:space="0" w:color="auto"/>
        <w:right w:val="none" w:sz="0" w:space="0" w:color="auto"/>
      </w:divBdr>
      <w:divsChild>
        <w:div w:id="1216938611">
          <w:marLeft w:val="0"/>
          <w:marRight w:val="0"/>
          <w:marTop w:val="0"/>
          <w:marBottom w:val="0"/>
          <w:divBdr>
            <w:top w:val="none" w:sz="0" w:space="0" w:color="auto"/>
            <w:left w:val="none" w:sz="0" w:space="0" w:color="auto"/>
            <w:bottom w:val="none" w:sz="0" w:space="0" w:color="auto"/>
            <w:right w:val="none" w:sz="0" w:space="0" w:color="auto"/>
          </w:divBdr>
          <w:divsChild>
            <w:div w:id="502665386">
              <w:marLeft w:val="0"/>
              <w:marRight w:val="0"/>
              <w:marTop w:val="0"/>
              <w:marBottom w:val="0"/>
              <w:divBdr>
                <w:top w:val="none" w:sz="0" w:space="0" w:color="auto"/>
                <w:left w:val="none" w:sz="0" w:space="0" w:color="auto"/>
                <w:bottom w:val="none" w:sz="0" w:space="0" w:color="auto"/>
                <w:right w:val="none" w:sz="0" w:space="0" w:color="auto"/>
              </w:divBdr>
              <w:divsChild>
                <w:div w:id="17736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02787">
      <w:bodyDiv w:val="1"/>
      <w:marLeft w:val="0"/>
      <w:marRight w:val="0"/>
      <w:marTop w:val="0"/>
      <w:marBottom w:val="0"/>
      <w:divBdr>
        <w:top w:val="none" w:sz="0" w:space="0" w:color="auto"/>
        <w:left w:val="none" w:sz="0" w:space="0" w:color="auto"/>
        <w:bottom w:val="none" w:sz="0" w:space="0" w:color="auto"/>
        <w:right w:val="none" w:sz="0" w:space="0" w:color="auto"/>
      </w:divBdr>
      <w:divsChild>
        <w:div w:id="684597086">
          <w:marLeft w:val="0"/>
          <w:marRight w:val="0"/>
          <w:marTop w:val="0"/>
          <w:marBottom w:val="0"/>
          <w:divBdr>
            <w:top w:val="none" w:sz="0" w:space="0" w:color="auto"/>
            <w:left w:val="none" w:sz="0" w:space="0" w:color="auto"/>
            <w:bottom w:val="none" w:sz="0" w:space="0" w:color="auto"/>
            <w:right w:val="none" w:sz="0" w:space="0" w:color="auto"/>
          </w:divBdr>
          <w:divsChild>
            <w:div w:id="1326396627">
              <w:marLeft w:val="0"/>
              <w:marRight w:val="0"/>
              <w:marTop w:val="0"/>
              <w:marBottom w:val="0"/>
              <w:divBdr>
                <w:top w:val="none" w:sz="0" w:space="0" w:color="auto"/>
                <w:left w:val="none" w:sz="0" w:space="0" w:color="auto"/>
                <w:bottom w:val="none" w:sz="0" w:space="0" w:color="auto"/>
                <w:right w:val="none" w:sz="0" w:space="0" w:color="auto"/>
              </w:divBdr>
              <w:divsChild>
                <w:div w:id="114801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93838">
      <w:bodyDiv w:val="1"/>
      <w:marLeft w:val="0"/>
      <w:marRight w:val="0"/>
      <w:marTop w:val="0"/>
      <w:marBottom w:val="0"/>
      <w:divBdr>
        <w:top w:val="none" w:sz="0" w:space="0" w:color="auto"/>
        <w:left w:val="none" w:sz="0" w:space="0" w:color="auto"/>
        <w:bottom w:val="none" w:sz="0" w:space="0" w:color="auto"/>
        <w:right w:val="none" w:sz="0" w:space="0" w:color="auto"/>
      </w:divBdr>
      <w:divsChild>
        <w:div w:id="185752001">
          <w:marLeft w:val="0"/>
          <w:marRight w:val="0"/>
          <w:marTop w:val="0"/>
          <w:marBottom w:val="0"/>
          <w:divBdr>
            <w:top w:val="none" w:sz="0" w:space="0" w:color="auto"/>
            <w:left w:val="none" w:sz="0" w:space="0" w:color="auto"/>
            <w:bottom w:val="none" w:sz="0" w:space="0" w:color="auto"/>
            <w:right w:val="none" w:sz="0" w:space="0" w:color="auto"/>
          </w:divBdr>
          <w:divsChild>
            <w:div w:id="1362634118">
              <w:marLeft w:val="0"/>
              <w:marRight w:val="0"/>
              <w:marTop w:val="0"/>
              <w:marBottom w:val="0"/>
              <w:divBdr>
                <w:top w:val="none" w:sz="0" w:space="0" w:color="auto"/>
                <w:left w:val="none" w:sz="0" w:space="0" w:color="auto"/>
                <w:bottom w:val="none" w:sz="0" w:space="0" w:color="auto"/>
                <w:right w:val="none" w:sz="0" w:space="0" w:color="auto"/>
              </w:divBdr>
              <w:divsChild>
                <w:div w:id="111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137436">
      <w:bodyDiv w:val="1"/>
      <w:marLeft w:val="0"/>
      <w:marRight w:val="0"/>
      <w:marTop w:val="0"/>
      <w:marBottom w:val="0"/>
      <w:divBdr>
        <w:top w:val="none" w:sz="0" w:space="0" w:color="auto"/>
        <w:left w:val="none" w:sz="0" w:space="0" w:color="auto"/>
        <w:bottom w:val="none" w:sz="0" w:space="0" w:color="auto"/>
        <w:right w:val="none" w:sz="0" w:space="0" w:color="auto"/>
      </w:divBdr>
      <w:divsChild>
        <w:div w:id="1278607683">
          <w:marLeft w:val="0"/>
          <w:marRight w:val="0"/>
          <w:marTop w:val="0"/>
          <w:marBottom w:val="0"/>
          <w:divBdr>
            <w:top w:val="none" w:sz="0" w:space="0" w:color="auto"/>
            <w:left w:val="none" w:sz="0" w:space="0" w:color="auto"/>
            <w:bottom w:val="none" w:sz="0" w:space="0" w:color="auto"/>
            <w:right w:val="none" w:sz="0" w:space="0" w:color="auto"/>
          </w:divBdr>
          <w:divsChild>
            <w:div w:id="432088305">
              <w:marLeft w:val="0"/>
              <w:marRight w:val="0"/>
              <w:marTop w:val="0"/>
              <w:marBottom w:val="0"/>
              <w:divBdr>
                <w:top w:val="none" w:sz="0" w:space="0" w:color="auto"/>
                <w:left w:val="none" w:sz="0" w:space="0" w:color="auto"/>
                <w:bottom w:val="none" w:sz="0" w:space="0" w:color="auto"/>
                <w:right w:val="none" w:sz="0" w:space="0" w:color="auto"/>
              </w:divBdr>
              <w:divsChild>
                <w:div w:id="12974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337796">
      <w:bodyDiv w:val="1"/>
      <w:marLeft w:val="0"/>
      <w:marRight w:val="0"/>
      <w:marTop w:val="0"/>
      <w:marBottom w:val="0"/>
      <w:divBdr>
        <w:top w:val="none" w:sz="0" w:space="0" w:color="auto"/>
        <w:left w:val="none" w:sz="0" w:space="0" w:color="auto"/>
        <w:bottom w:val="none" w:sz="0" w:space="0" w:color="auto"/>
        <w:right w:val="none" w:sz="0" w:space="0" w:color="auto"/>
      </w:divBdr>
      <w:divsChild>
        <w:div w:id="1653484186">
          <w:marLeft w:val="0"/>
          <w:marRight w:val="0"/>
          <w:marTop w:val="0"/>
          <w:marBottom w:val="0"/>
          <w:divBdr>
            <w:top w:val="none" w:sz="0" w:space="0" w:color="auto"/>
            <w:left w:val="none" w:sz="0" w:space="0" w:color="auto"/>
            <w:bottom w:val="none" w:sz="0" w:space="0" w:color="auto"/>
            <w:right w:val="none" w:sz="0" w:space="0" w:color="auto"/>
          </w:divBdr>
          <w:divsChild>
            <w:div w:id="1746142267">
              <w:marLeft w:val="0"/>
              <w:marRight w:val="0"/>
              <w:marTop w:val="0"/>
              <w:marBottom w:val="0"/>
              <w:divBdr>
                <w:top w:val="none" w:sz="0" w:space="0" w:color="auto"/>
                <w:left w:val="none" w:sz="0" w:space="0" w:color="auto"/>
                <w:bottom w:val="none" w:sz="0" w:space="0" w:color="auto"/>
                <w:right w:val="none" w:sz="0" w:space="0" w:color="auto"/>
              </w:divBdr>
              <w:divsChild>
                <w:div w:id="146403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13356">
      <w:bodyDiv w:val="1"/>
      <w:marLeft w:val="0"/>
      <w:marRight w:val="0"/>
      <w:marTop w:val="0"/>
      <w:marBottom w:val="0"/>
      <w:divBdr>
        <w:top w:val="none" w:sz="0" w:space="0" w:color="auto"/>
        <w:left w:val="none" w:sz="0" w:space="0" w:color="auto"/>
        <w:bottom w:val="none" w:sz="0" w:space="0" w:color="auto"/>
        <w:right w:val="none" w:sz="0" w:space="0" w:color="auto"/>
      </w:divBdr>
      <w:divsChild>
        <w:div w:id="752312500">
          <w:marLeft w:val="0"/>
          <w:marRight w:val="0"/>
          <w:marTop w:val="0"/>
          <w:marBottom w:val="0"/>
          <w:divBdr>
            <w:top w:val="none" w:sz="0" w:space="0" w:color="auto"/>
            <w:left w:val="none" w:sz="0" w:space="0" w:color="auto"/>
            <w:bottom w:val="none" w:sz="0" w:space="0" w:color="auto"/>
            <w:right w:val="none" w:sz="0" w:space="0" w:color="auto"/>
          </w:divBdr>
          <w:divsChild>
            <w:div w:id="496268444">
              <w:marLeft w:val="0"/>
              <w:marRight w:val="0"/>
              <w:marTop w:val="0"/>
              <w:marBottom w:val="0"/>
              <w:divBdr>
                <w:top w:val="none" w:sz="0" w:space="0" w:color="auto"/>
                <w:left w:val="none" w:sz="0" w:space="0" w:color="auto"/>
                <w:bottom w:val="none" w:sz="0" w:space="0" w:color="auto"/>
                <w:right w:val="none" w:sz="0" w:space="0" w:color="auto"/>
              </w:divBdr>
              <w:divsChild>
                <w:div w:id="172236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44708">
      <w:bodyDiv w:val="1"/>
      <w:marLeft w:val="0"/>
      <w:marRight w:val="0"/>
      <w:marTop w:val="0"/>
      <w:marBottom w:val="0"/>
      <w:divBdr>
        <w:top w:val="none" w:sz="0" w:space="0" w:color="auto"/>
        <w:left w:val="none" w:sz="0" w:space="0" w:color="auto"/>
        <w:bottom w:val="none" w:sz="0" w:space="0" w:color="auto"/>
        <w:right w:val="none" w:sz="0" w:space="0" w:color="auto"/>
      </w:divBdr>
      <w:divsChild>
        <w:div w:id="181750148">
          <w:marLeft w:val="0"/>
          <w:marRight w:val="0"/>
          <w:marTop w:val="0"/>
          <w:marBottom w:val="0"/>
          <w:divBdr>
            <w:top w:val="none" w:sz="0" w:space="0" w:color="auto"/>
            <w:left w:val="none" w:sz="0" w:space="0" w:color="auto"/>
            <w:bottom w:val="none" w:sz="0" w:space="0" w:color="auto"/>
            <w:right w:val="none" w:sz="0" w:space="0" w:color="auto"/>
          </w:divBdr>
          <w:divsChild>
            <w:div w:id="1520893989">
              <w:marLeft w:val="0"/>
              <w:marRight w:val="0"/>
              <w:marTop w:val="0"/>
              <w:marBottom w:val="0"/>
              <w:divBdr>
                <w:top w:val="none" w:sz="0" w:space="0" w:color="auto"/>
                <w:left w:val="none" w:sz="0" w:space="0" w:color="auto"/>
                <w:bottom w:val="none" w:sz="0" w:space="0" w:color="auto"/>
                <w:right w:val="none" w:sz="0" w:space="0" w:color="auto"/>
              </w:divBdr>
              <w:divsChild>
                <w:div w:id="1685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17450">
      <w:bodyDiv w:val="1"/>
      <w:marLeft w:val="0"/>
      <w:marRight w:val="0"/>
      <w:marTop w:val="0"/>
      <w:marBottom w:val="0"/>
      <w:divBdr>
        <w:top w:val="none" w:sz="0" w:space="0" w:color="auto"/>
        <w:left w:val="none" w:sz="0" w:space="0" w:color="auto"/>
        <w:bottom w:val="none" w:sz="0" w:space="0" w:color="auto"/>
        <w:right w:val="none" w:sz="0" w:space="0" w:color="auto"/>
      </w:divBdr>
      <w:divsChild>
        <w:div w:id="1359696087">
          <w:marLeft w:val="0"/>
          <w:marRight w:val="0"/>
          <w:marTop w:val="0"/>
          <w:marBottom w:val="0"/>
          <w:divBdr>
            <w:top w:val="none" w:sz="0" w:space="0" w:color="auto"/>
            <w:left w:val="none" w:sz="0" w:space="0" w:color="auto"/>
            <w:bottom w:val="none" w:sz="0" w:space="0" w:color="auto"/>
            <w:right w:val="none" w:sz="0" w:space="0" w:color="auto"/>
          </w:divBdr>
          <w:divsChild>
            <w:div w:id="1465464981">
              <w:marLeft w:val="0"/>
              <w:marRight w:val="0"/>
              <w:marTop w:val="0"/>
              <w:marBottom w:val="0"/>
              <w:divBdr>
                <w:top w:val="none" w:sz="0" w:space="0" w:color="auto"/>
                <w:left w:val="none" w:sz="0" w:space="0" w:color="auto"/>
                <w:bottom w:val="none" w:sz="0" w:space="0" w:color="auto"/>
                <w:right w:val="none" w:sz="0" w:space="0" w:color="auto"/>
              </w:divBdr>
              <w:divsChild>
                <w:div w:id="109224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11429">
      <w:bodyDiv w:val="1"/>
      <w:marLeft w:val="0"/>
      <w:marRight w:val="0"/>
      <w:marTop w:val="0"/>
      <w:marBottom w:val="0"/>
      <w:divBdr>
        <w:top w:val="none" w:sz="0" w:space="0" w:color="auto"/>
        <w:left w:val="none" w:sz="0" w:space="0" w:color="auto"/>
        <w:bottom w:val="none" w:sz="0" w:space="0" w:color="auto"/>
        <w:right w:val="none" w:sz="0" w:space="0" w:color="auto"/>
      </w:divBdr>
      <w:divsChild>
        <w:div w:id="945309320">
          <w:marLeft w:val="0"/>
          <w:marRight w:val="0"/>
          <w:marTop w:val="0"/>
          <w:marBottom w:val="0"/>
          <w:divBdr>
            <w:top w:val="none" w:sz="0" w:space="0" w:color="auto"/>
            <w:left w:val="none" w:sz="0" w:space="0" w:color="auto"/>
            <w:bottom w:val="none" w:sz="0" w:space="0" w:color="auto"/>
            <w:right w:val="none" w:sz="0" w:space="0" w:color="auto"/>
          </w:divBdr>
          <w:divsChild>
            <w:div w:id="1530676634">
              <w:marLeft w:val="0"/>
              <w:marRight w:val="0"/>
              <w:marTop w:val="0"/>
              <w:marBottom w:val="0"/>
              <w:divBdr>
                <w:top w:val="none" w:sz="0" w:space="0" w:color="auto"/>
                <w:left w:val="none" w:sz="0" w:space="0" w:color="auto"/>
                <w:bottom w:val="none" w:sz="0" w:space="0" w:color="auto"/>
                <w:right w:val="none" w:sz="0" w:space="0" w:color="auto"/>
              </w:divBdr>
              <w:divsChild>
                <w:div w:id="746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14436">
      <w:bodyDiv w:val="1"/>
      <w:marLeft w:val="0"/>
      <w:marRight w:val="0"/>
      <w:marTop w:val="0"/>
      <w:marBottom w:val="0"/>
      <w:divBdr>
        <w:top w:val="none" w:sz="0" w:space="0" w:color="auto"/>
        <w:left w:val="none" w:sz="0" w:space="0" w:color="auto"/>
        <w:bottom w:val="none" w:sz="0" w:space="0" w:color="auto"/>
        <w:right w:val="none" w:sz="0" w:space="0" w:color="auto"/>
      </w:divBdr>
      <w:divsChild>
        <w:div w:id="381027638">
          <w:marLeft w:val="0"/>
          <w:marRight w:val="0"/>
          <w:marTop w:val="0"/>
          <w:marBottom w:val="0"/>
          <w:divBdr>
            <w:top w:val="none" w:sz="0" w:space="0" w:color="auto"/>
            <w:left w:val="none" w:sz="0" w:space="0" w:color="auto"/>
            <w:bottom w:val="none" w:sz="0" w:space="0" w:color="auto"/>
            <w:right w:val="none" w:sz="0" w:space="0" w:color="auto"/>
          </w:divBdr>
          <w:divsChild>
            <w:div w:id="1283464908">
              <w:marLeft w:val="0"/>
              <w:marRight w:val="0"/>
              <w:marTop w:val="0"/>
              <w:marBottom w:val="0"/>
              <w:divBdr>
                <w:top w:val="none" w:sz="0" w:space="0" w:color="auto"/>
                <w:left w:val="none" w:sz="0" w:space="0" w:color="auto"/>
                <w:bottom w:val="none" w:sz="0" w:space="0" w:color="auto"/>
                <w:right w:val="none" w:sz="0" w:space="0" w:color="auto"/>
              </w:divBdr>
              <w:divsChild>
                <w:div w:id="3650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82922">
      <w:bodyDiv w:val="1"/>
      <w:marLeft w:val="0"/>
      <w:marRight w:val="0"/>
      <w:marTop w:val="0"/>
      <w:marBottom w:val="0"/>
      <w:divBdr>
        <w:top w:val="none" w:sz="0" w:space="0" w:color="auto"/>
        <w:left w:val="none" w:sz="0" w:space="0" w:color="auto"/>
        <w:bottom w:val="none" w:sz="0" w:space="0" w:color="auto"/>
        <w:right w:val="none" w:sz="0" w:space="0" w:color="auto"/>
      </w:divBdr>
      <w:divsChild>
        <w:div w:id="396830002">
          <w:marLeft w:val="0"/>
          <w:marRight w:val="0"/>
          <w:marTop w:val="0"/>
          <w:marBottom w:val="0"/>
          <w:divBdr>
            <w:top w:val="none" w:sz="0" w:space="0" w:color="auto"/>
            <w:left w:val="none" w:sz="0" w:space="0" w:color="auto"/>
            <w:bottom w:val="none" w:sz="0" w:space="0" w:color="auto"/>
            <w:right w:val="none" w:sz="0" w:space="0" w:color="auto"/>
          </w:divBdr>
          <w:divsChild>
            <w:div w:id="1253661316">
              <w:marLeft w:val="0"/>
              <w:marRight w:val="0"/>
              <w:marTop w:val="0"/>
              <w:marBottom w:val="0"/>
              <w:divBdr>
                <w:top w:val="none" w:sz="0" w:space="0" w:color="auto"/>
                <w:left w:val="none" w:sz="0" w:space="0" w:color="auto"/>
                <w:bottom w:val="none" w:sz="0" w:space="0" w:color="auto"/>
                <w:right w:val="none" w:sz="0" w:space="0" w:color="auto"/>
              </w:divBdr>
              <w:divsChild>
                <w:div w:id="637809449">
                  <w:marLeft w:val="0"/>
                  <w:marRight w:val="0"/>
                  <w:marTop w:val="0"/>
                  <w:marBottom w:val="0"/>
                  <w:divBdr>
                    <w:top w:val="none" w:sz="0" w:space="0" w:color="auto"/>
                    <w:left w:val="none" w:sz="0" w:space="0" w:color="auto"/>
                    <w:bottom w:val="none" w:sz="0" w:space="0" w:color="auto"/>
                    <w:right w:val="none" w:sz="0" w:space="0" w:color="auto"/>
                  </w:divBdr>
                  <w:divsChild>
                    <w:div w:id="82925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458409">
      <w:bodyDiv w:val="1"/>
      <w:marLeft w:val="0"/>
      <w:marRight w:val="0"/>
      <w:marTop w:val="0"/>
      <w:marBottom w:val="0"/>
      <w:divBdr>
        <w:top w:val="none" w:sz="0" w:space="0" w:color="auto"/>
        <w:left w:val="none" w:sz="0" w:space="0" w:color="auto"/>
        <w:bottom w:val="none" w:sz="0" w:space="0" w:color="auto"/>
        <w:right w:val="none" w:sz="0" w:space="0" w:color="auto"/>
      </w:divBdr>
      <w:divsChild>
        <w:div w:id="316689670">
          <w:marLeft w:val="0"/>
          <w:marRight w:val="0"/>
          <w:marTop w:val="0"/>
          <w:marBottom w:val="0"/>
          <w:divBdr>
            <w:top w:val="none" w:sz="0" w:space="0" w:color="auto"/>
            <w:left w:val="none" w:sz="0" w:space="0" w:color="auto"/>
            <w:bottom w:val="none" w:sz="0" w:space="0" w:color="auto"/>
            <w:right w:val="none" w:sz="0" w:space="0" w:color="auto"/>
          </w:divBdr>
          <w:divsChild>
            <w:div w:id="649137984">
              <w:marLeft w:val="0"/>
              <w:marRight w:val="0"/>
              <w:marTop w:val="0"/>
              <w:marBottom w:val="0"/>
              <w:divBdr>
                <w:top w:val="none" w:sz="0" w:space="0" w:color="auto"/>
                <w:left w:val="none" w:sz="0" w:space="0" w:color="auto"/>
                <w:bottom w:val="none" w:sz="0" w:space="0" w:color="auto"/>
                <w:right w:val="none" w:sz="0" w:space="0" w:color="auto"/>
              </w:divBdr>
              <w:divsChild>
                <w:div w:id="84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4053">
      <w:bodyDiv w:val="1"/>
      <w:marLeft w:val="0"/>
      <w:marRight w:val="0"/>
      <w:marTop w:val="0"/>
      <w:marBottom w:val="0"/>
      <w:divBdr>
        <w:top w:val="none" w:sz="0" w:space="0" w:color="auto"/>
        <w:left w:val="none" w:sz="0" w:space="0" w:color="auto"/>
        <w:bottom w:val="none" w:sz="0" w:space="0" w:color="auto"/>
        <w:right w:val="none" w:sz="0" w:space="0" w:color="auto"/>
      </w:divBdr>
      <w:divsChild>
        <w:div w:id="2022392619">
          <w:marLeft w:val="0"/>
          <w:marRight w:val="0"/>
          <w:marTop w:val="0"/>
          <w:marBottom w:val="0"/>
          <w:divBdr>
            <w:top w:val="none" w:sz="0" w:space="0" w:color="auto"/>
            <w:left w:val="none" w:sz="0" w:space="0" w:color="auto"/>
            <w:bottom w:val="none" w:sz="0" w:space="0" w:color="auto"/>
            <w:right w:val="none" w:sz="0" w:space="0" w:color="auto"/>
          </w:divBdr>
          <w:divsChild>
            <w:div w:id="406270542">
              <w:marLeft w:val="0"/>
              <w:marRight w:val="0"/>
              <w:marTop w:val="0"/>
              <w:marBottom w:val="0"/>
              <w:divBdr>
                <w:top w:val="none" w:sz="0" w:space="0" w:color="auto"/>
                <w:left w:val="none" w:sz="0" w:space="0" w:color="auto"/>
                <w:bottom w:val="none" w:sz="0" w:space="0" w:color="auto"/>
                <w:right w:val="none" w:sz="0" w:space="0" w:color="auto"/>
              </w:divBdr>
              <w:divsChild>
                <w:div w:id="1938440037">
                  <w:marLeft w:val="0"/>
                  <w:marRight w:val="0"/>
                  <w:marTop w:val="0"/>
                  <w:marBottom w:val="0"/>
                  <w:divBdr>
                    <w:top w:val="none" w:sz="0" w:space="0" w:color="auto"/>
                    <w:left w:val="none" w:sz="0" w:space="0" w:color="auto"/>
                    <w:bottom w:val="none" w:sz="0" w:space="0" w:color="auto"/>
                    <w:right w:val="none" w:sz="0" w:space="0" w:color="auto"/>
                  </w:divBdr>
                </w:div>
              </w:divsChild>
            </w:div>
            <w:div w:id="2072998746">
              <w:marLeft w:val="0"/>
              <w:marRight w:val="0"/>
              <w:marTop w:val="0"/>
              <w:marBottom w:val="0"/>
              <w:divBdr>
                <w:top w:val="none" w:sz="0" w:space="0" w:color="auto"/>
                <w:left w:val="none" w:sz="0" w:space="0" w:color="auto"/>
                <w:bottom w:val="none" w:sz="0" w:space="0" w:color="auto"/>
                <w:right w:val="none" w:sz="0" w:space="0" w:color="auto"/>
              </w:divBdr>
              <w:divsChild>
                <w:div w:id="17850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81222">
      <w:bodyDiv w:val="1"/>
      <w:marLeft w:val="0"/>
      <w:marRight w:val="0"/>
      <w:marTop w:val="0"/>
      <w:marBottom w:val="0"/>
      <w:divBdr>
        <w:top w:val="none" w:sz="0" w:space="0" w:color="auto"/>
        <w:left w:val="none" w:sz="0" w:space="0" w:color="auto"/>
        <w:bottom w:val="none" w:sz="0" w:space="0" w:color="auto"/>
        <w:right w:val="none" w:sz="0" w:space="0" w:color="auto"/>
      </w:divBdr>
      <w:divsChild>
        <w:div w:id="171842742">
          <w:marLeft w:val="0"/>
          <w:marRight w:val="0"/>
          <w:marTop w:val="0"/>
          <w:marBottom w:val="0"/>
          <w:divBdr>
            <w:top w:val="none" w:sz="0" w:space="0" w:color="auto"/>
            <w:left w:val="none" w:sz="0" w:space="0" w:color="auto"/>
            <w:bottom w:val="none" w:sz="0" w:space="0" w:color="auto"/>
            <w:right w:val="none" w:sz="0" w:space="0" w:color="auto"/>
          </w:divBdr>
          <w:divsChild>
            <w:div w:id="101997474">
              <w:marLeft w:val="0"/>
              <w:marRight w:val="0"/>
              <w:marTop w:val="0"/>
              <w:marBottom w:val="0"/>
              <w:divBdr>
                <w:top w:val="none" w:sz="0" w:space="0" w:color="auto"/>
                <w:left w:val="none" w:sz="0" w:space="0" w:color="auto"/>
                <w:bottom w:val="none" w:sz="0" w:space="0" w:color="auto"/>
                <w:right w:val="none" w:sz="0" w:space="0" w:color="auto"/>
              </w:divBdr>
              <w:divsChild>
                <w:div w:id="206891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438216">
      <w:bodyDiv w:val="1"/>
      <w:marLeft w:val="0"/>
      <w:marRight w:val="0"/>
      <w:marTop w:val="0"/>
      <w:marBottom w:val="0"/>
      <w:divBdr>
        <w:top w:val="none" w:sz="0" w:space="0" w:color="auto"/>
        <w:left w:val="none" w:sz="0" w:space="0" w:color="auto"/>
        <w:bottom w:val="none" w:sz="0" w:space="0" w:color="auto"/>
        <w:right w:val="none" w:sz="0" w:space="0" w:color="auto"/>
      </w:divBdr>
      <w:divsChild>
        <w:div w:id="2135558648">
          <w:marLeft w:val="0"/>
          <w:marRight w:val="0"/>
          <w:marTop w:val="0"/>
          <w:marBottom w:val="0"/>
          <w:divBdr>
            <w:top w:val="none" w:sz="0" w:space="0" w:color="auto"/>
            <w:left w:val="none" w:sz="0" w:space="0" w:color="auto"/>
            <w:bottom w:val="none" w:sz="0" w:space="0" w:color="auto"/>
            <w:right w:val="none" w:sz="0" w:space="0" w:color="auto"/>
          </w:divBdr>
          <w:divsChild>
            <w:div w:id="462188178">
              <w:marLeft w:val="0"/>
              <w:marRight w:val="0"/>
              <w:marTop w:val="0"/>
              <w:marBottom w:val="0"/>
              <w:divBdr>
                <w:top w:val="none" w:sz="0" w:space="0" w:color="auto"/>
                <w:left w:val="none" w:sz="0" w:space="0" w:color="auto"/>
                <w:bottom w:val="none" w:sz="0" w:space="0" w:color="auto"/>
                <w:right w:val="none" w:sz="0" w:space="0" w:color="auto"/>
              </w:divBdr>
              <w:divsChild>
                <w:div w:id="6847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75394">
      <w:bodyDiv w:val="1"/>
      <w:marLeft w:val="0"/>
      <w:marRight w:val="0"/>
      <w:marTop w:val="0"/>
      <w:marBottom w:val="0"/>
      <w:divBdr>
        <w:top w:val="none" w:sz="0" w:space="0" w:color="auto"/>
        <w:left w:val="none" w:sz="0" w:space="0" w:color="auto"/>
        <w:bottom w:val="none" w:sz="0" w:space="0" w:color="auto"/>
        <w:right w:val="none" w:sz="0" w:space="0" w:color="auto"/>
      </w:divBdr>
      <w:divsChild>
        <w:div w:id="1794640209">
          <w:marLeft w:val="0"/>
          <w:marRight w:val="0"/>
          <w:marTop w:val="0"/>
          <w:marBottom w:val="0"/>
          <w:divBdr>
            <w:top w:val="none" w:sz="0" w:space="0" w:color="auto"/>
            <w:left w:val="none" w:sz="0" w:space="0" w:color="auto"/>
            <w:bottom w:val="none" w:sz="0" w:space="0" w:color="auto"/>
            <w:right w:val="none" w:sz="0" w:space="0" w:color="auto"/>
          </w:divBdr>
          <w:divsChild>
            <w:div w:id="626814586">
              <w:marLeft w:val="0"/>
              <w:marRight w:val="0"/>
              <w:marTop w:val="0"/>
              <w:marBottom w:val="0"/>
              <w:divBdr>
                <w:top w:val="none" w:sz="0" w:space="0" w:color="auto"/>
                <w:left w:val="none" w:sz="0" w:space="0" w:color="auto"/>
                <w:bottom w:val="none" w:sz="0" w:space="0" w:color="auto"/>
                <w:right w:val="none" w:sz="0" w:space="0" w:color="auto"/>
              </w:divBdr>
              <w:divsChild>
                <w:div w:id="147680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1294">
      <w:bodyDiv w:val="1"/>
      <w:marLeft w:val="0"/>
      <w:marRight w:val="0"/>
      <w:marTop w:val="0"/>
      <w:marBottom w:val="0"/>
      <w:divBdr>
        <w:top w:val="none" w:sz="0" w:space="0" w:color="auto"/>
        <w:left w:val="none" w:sz="0" w:space="0" w:color="auto"/>
        <w:bottom w:val="none" w:sz="0" w:space="0" w:color="auto"/>
        <w:right w:val="none" w:sz="0" w:space="0" w:color="auto"/>
      </w:divBdr>
      <w:divsChild>
        <w:div w:id="2031760571">
          <w:marLeft w:val="0"/>
          <w:marRight w:val="0"/>
          <w:marTop w:val="0"/>
          <w:marBottom w:val="0"/>
          <w:divBdr>
            <w:top w:val="none" w:sz="0" w:space="0" w:color="auto"/>
            <w:left w:val="none" w:sz="0" w:space="0" w:color="auto"/>
            <w:bottom w:val="none" w:sz="0" w:space="0" w:color="auto"/>
            <w:right w:val="none" w:sz="0" w:space="0" w:color="auto"/>
          </w:divBdr>
          <w:divsChild>
            <w:div w:id="1068457006">
              <w:marLeft w:val="0"/>
              <w:marRight w:val="0"/>
              <w:marTop w:val="0"/>
              <w:marBottom w:val="0"/>
              <w:divBdr>
                <w:top w:val="none" w:sz="0" w:space="0" w:color="auto"/>
                <w:left w:val="none" w:sz="0" w:space="0" w:color="auto"/>
                <w:bottom w:val="none" w:sz="0" w:space="0" w:color="auto"/>
                <w:right w:val="none" w:sz="0" w:space="0" w:color="auto"/>
              </w:divBdr>
              <w:divsChild>
                <w:div w:id="281376895">
                  <w:marLeft w:val="0"/>
                  <w:marRight w:val="0"/>
                  <w:marTop w:val="0"/>
                  <w:marBottom w:val="0"/>
                  <w:divBdr>
                    <w:top w:val="none" w:sz="0" w:space="0" w:color="auto"/>
                    <w:left w:val="none" w:sz="0" w:space="0" w:color="auto"/>
                    <w:bottom w:val="none" w:sz="0" w:space="0" w:color="auto"/>
                    <w:right w:val="none" w:sz="0" w:space="0" w:color="auto"/>
                  </w:divBdr>
                  <w:divsChild>
                    <w:div w:id="21169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404679">
      <w:bodyDiv w:val="1"/>
      <w:marLeft w:val="0"/>
      <w:marRight w:val="0"/>
      <w:marTop w:val="0"/>
      <w:marBottom w:val="0"/>
      <w:divBdr>
        <w:top w:val="none" w:sz="0" w:space="0" w:color="auto"/>
        <w:left w:val="none" w:sz="0" w:space="0" w:color="auto"/>
        <w:bottom w:val="none" w:sz="0" w:space="0" w:color="auto"/>
        <w:right w:val="none" w:sz="0" w:space="0" w:color="auto"/>
      </w:divBdr>
      <w:divsChild>
        <w:div w:id="735056880">
          <w:marLeft w:val="0"/>
          <w:marRight w:val="0"/>
          <w:marTop w:val="0"/>
          <w:marBottom w:val="0"/>
          <w:divBdr>
            <w:top w:val="none" w:sz="0" w:space="0" w:color="auto"/>
            <w:left w:val="none" w:sz="0" w:space="0" w:color="auto"/>
            <w:bottom w:val="none" w:sz="0" w:space="0" w:color="auto"/>
            <w:right w:val="none" w:sz="0" w:space="0" w:color="auto"/>
          </w:divBdr>
          <w:divsChild>
            <w:div w:id="523246598">
              <w:marLeft w:val="0"/>
              <w:marRight w:val="0"/>
              <w:marTop w:val="0"/>
              <w:marBottom w:val="0"/>
              <w:divBdr>
                <w:top w:val="none" w:sz="0" w:space="0" w:color="auto"/>
                <w:left w:val="none" w:sz="0" w:space="0" w:color="auto"/>
                <w:bottom w:val="none" w:sz="0" w:space="0" w:color="auto"/>
                <w:right w:val="none" w:sz="0" w:space="0" w:color="auto"/>
              </w:divBdr>
              <w:divsChild>
                <w:div w:id="16982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01558">
      <w:bodyDiv w:val="1"/>
      <w:marLeft w:val="0"/>
      <w:marRight w:val="0"/>
      <w:marTop w:val="0"/>
      <w:marBottom w:val="0"/>
      <w:divBdr>
        <w:top w:val="none" w:sz="0" w:space="0" w:color="auto"/>
        <w:left w:val="none" w:sz="0" w:space="0" w:color="auto"/>
        <w:bottom w:val="none" w:sz="0" w:space="0" w:color="auto"/>
        <w:right w:val="none" w:sz="0" w:space="0" w:color="auto"/>
      </w:divBdr>
      <w:divsChild>
        <w:div w:id="1676106121">
          <w:marLeft w:val="0"/>
          <w:marRight w:val="0"/>
          <w:marTop w:val="0"/>
          <w:marBottom w:val="0"/>
          <w:divBdr>
            <w:top w:val="none" w:sz="0" w:space="0" w:color="auto"/>
            <w:left w:val="none" w:sz="0" w:space="0" w:color="auto"/>
            <w:bottom w:val="none" w:sz="0" w:space="0" w:color="auto"/>
            <w:right w:val="none" w:sz="0" w:space="0" w:color="auto"/>
          </w:divBdr>
          <w:divsChild>
            <w:div w:id="583535539">
              <w:marLeft w:val="0"/>
              <w:marRight w:val="0"/>
              <w:marTop w:val="0"/>
              <w:marBottom w:val="0"/>
              <w:divBdr>
                <w:top w:val="none" w:sz="0" w:space="0" w:color="auto"/>
                <w:left w:val="none" w:sz="0" w:space="0" w:color="auto"/>
                <w:bottom w:val="none" w:sz="0" w:space="0" w:color="auto"/>
                <w:right w:val="none" w:sz="0" w:space="0" w:color="auto"/>
              </w:divBdr>
              <w:divsChild>
                <w:div w:id="107061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8289">
      <w:bodyDiv w:val="1"/>
      <w:marLeft w:val="0"/>
      <w:marRight w:val="0"/>
      <w:marTop w:val="0"/>
      <w:marBottom w:val="0"/>
      <w:divBdr>
        <w:top w:val="none" w:sz="0" w:space="0" w:color="auto"/>
        <w:left w:val="none" w:sz="0" w:space="0" w:color="auto"/>
        <w:bottom w:val="none" w:sz="0" w:space="0" w:color="auto"/>
        <w:right w:val="none" w:sz="0" w:space="0" w:color="auto"/>
      </w:divBdr>
      <w:divsChild>
        <w:div w:id="1084453152">
          <w:marLeft w:val="0"/>
          <w:marRight w:val="0"/>
          <w:marTop w:val="0"/>
          <w:marBottom w:val="0"/>
          <w:divBdr>
            <w:top w:val="none" w:sz="0" w:space="0" w:color="auto"/>
            <w:left w:val="none" w:sz="0" w:space="0" w:color="auto"/>
            <w:bottom w:val="none" w:sz="0" w:space="0" w:color="auto"/>
            <w:right w:val="none" w:sz="0" w:space="0" w:color="auto"/>
          </w:divBdr>
          <w:divsChild>
            <w:div w:id="2511756">
              <w:marLeft w:val="0"/>
              <w:marRight w:val="0"/>
              <w:marTop w:val="0"/>
              <w:marBottom w:val="0"/>
              <w:divBdr>
                <w:top w:val="none" w:sz="0" w:space="0" w:color="auto"/>
                <w:left w:val="none" w:sz="0" w:space="0" w:color="auto"/>
                <w:bottom w:val="none" w:sz="0" w:space="0" w:color="auto"/>
                <w:right w:val="none" w:sz="0" w:space="0" w:color="auto"/>
              </w:divBdr>
              <w:divsChild>
                <w:div w:id="9528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63172">
      <w:bodyDiv w:val="1"/>
      <w:marLeft w:val="0"/>
      <w:marRight w:val="0"/>
      <w:marTop w:val="0"/>
      <w:marBottom w:val="0"/>
      <w:divBdr>
        <w:top w:val="none" w:sz="0" w:space="0" w:color="auto"/>
        <w:left w:val="none" w:sz="0" w:space="0" w:color="auto"/>
        <w:bottom w:val="none" w:sz="0" w:space="0" w:color="auto"/>
        <w:right w:val="none" w:sz="0" w:space="0" w:color="auto"/>
      </w:divBdr>
      <w:divsChild>
        <w:div w:id="1509833435">
          <w:marLeft w:val="0"/>
          <w:marRight w:val="0"/>
          <w:marTop w:val="0"/>
          <w:marBottom w:val="0"/>
          <w:divBdr>
            <w:top w:val="none" w:sz="0" w:space="0" w:color="auto"/>
            <w:left w:val="none" w:sz="0" w:space="0" w:color="auto"/>
            <w:bottom w:val="none" w:sz="0" w:space="0" w:color="auto"/>
            <w:right w:val="none" w:sz="0" w:space="0" w:color="auto"/>
          </w:divBdr>
          <w:divsChild>
            <w:div w:id="946081345">
              <w:marLeft w:val="0"/>
              <w:marRight w:val="0"/>
              <w:marTop w:val="0"/>
              <w:marBottom w:val="0"/>
              <w:divBdr>
                <w:top w:val="none" w:sz="0" w:space="0" w:color="auto"/>
                <w:left w:val="none" w:sz="0" w:space="0" w:color="auto"/>
                <w:bottom w:val="none" w:sz="0" w:space="0" w:color="auto"/>
                <w:right w:val="none" w:sz="0" w:space="0" w:color="auto"/>
              </w:divBdr>
              <w:divsChild>
                <w:div w:id="17567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77985">
      <w:bodyDiv w:val="1"/>
      <w:marLeft w:val="0"/>
      <w:marRight w:val="0"/>
      <w:marTop w:val="0"/>
      <w:marBottom w:val="0"/>
      <w:divBdr>
        <w:top w:val="none" w:sz="0" w:space="0" w:color="auto"/>
        <w:left w:val="none" w:sz="0" w:space="0" w:color="auto"/>
        <w:bottom w:val="none" w:sz="0" w:space="0" w:color="auto"/>
        <w:right w:val="none" w:sz="0" w:space="0" w:color="auto"/>
      </w:divBdr>
      <w:divsChild>
        <w:div w:id="800224581">
          <w:marLeft w:val="0"/>
          <w:marRight w:val="0"/>
          <w:marTop w:val="0"/>
          <w:marBottom w:val="0"/>
          <w:divBdr>
            <w:top w:val="none" w:sz="0" w:space="0" w:color="auto"/>
            <w:left w:val="none" w:sz="0" w:space="0" w:color="auto"/>
            <w:bottom w:val="none" w:sz="0" w:space="0" w:color="auto"/>
            <w:right w:val="none" w:sz="0" w:space="0" w:color="auto"/>
          </w:divBdr>
          <w:divsChild>
            <w:div w:id="1919246911">
              <w:marLeft w:val="0"/>
              <w:marRight w:val="0"/>
              <w:marTop w:val="0"/>
              <w:marBottom w:val="0"/>
              <w:divBdr>
                <w:top w:val="none" w:sz="0" w:space="0" w:color="auto"/>
                <w:left w:val="none" w:sz="0" w:space="0" w:color="auto"/>
                <w:bottom w:val="none" w:sz="0" w:space="0" w:color="auto"/>
                <w:right w:val="none" w:sz="0" w:space="0" w:color="auto"/>
              </w:divBdr>
              <w:divsChild>
                <w:div w:id="259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733645">
      <w:bodyDiv w:val="1"/>
      <w:marLeft w:val="0"/>
      <w:marRight w:val="0"/>
      <w:marTop w:val="0"/>
      <w:marBottom w:val="0"/>
      <w:divBdr>
        <w:top w:val="none" w:sz="0" w:space="0" w:color="auto"/>
        <w:left w:val="none" w:sz="0" w:space="0" w:color="auto"/>
        <w:bottom w:val="none" w:sz="0" w:space="0" w:color="auto"/>
        <w:right w:val="none" w:sz="0" w:space="0" w:color="auto"/>
      </w:divBdr>
      <w:divsChild>
        <w:div w:id="1911110573">
          <w:marLeft w:val="0"/>
          <w:marRight w:val="0"/>
          <w:marTop w:val="0"/>
          <w:marBottom w:val="0"/>
          <w:divBdr>
            <w:top w:val="none" w:sz="0" w:space="0" w:color="auto"/>
            <w:left w:val="none" w:sz="0" w:space="0" w:color="auto"/>
            <w:bottom w:val="none" w:sz="0" w:space="0" w:color="auto"/>
            <w:right w:val="none" w:sz="0" w:space="0" w:color="auto"/>
          </w:divBdr>
          <w:divsChild>
            <w:div w:id="320735192">
              <w:marLeft w:val="0"/>
              <w:marRight w:val="0"/>
              <w:marTop w:val="0"/>
              <w:marBottom w:val="0"/>
              <w:divBdr>
                <w:top w:val="none" w:sz="0" w:space="0" w:color="auto"/>
                <w:left w:val="none" w:sz="0" w:space="0" w:color="auto"/>
                <w:bottom w:val="none" w:sz="0" w:space="0" w:color="auto"/>
                <w:right w:val="none" w:sz="0" w:space="0" w:color="auto"/>
              </w:divBdr>
              <w:divsChild>
                <w:div w:id="147564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09349">
      <w:bodyDiv w:val="1"/>
      <w:marLeft w:val="0"/>
      <w:marRight w:val="0"/>
      <w:marTop w:val="0"/>
      <w:marBottom w:val="0"/>
      <w:divBdr>
        <w:top w:val="none" w:sz="0" w:space="0" w:color="auto"/>
        <w:left w:val="none" w:sz="0" w:space="0" w:color="auto"/>
        <w:bottom w:val="none" w:sz="0" w:space="0" w:color="auto"/>
        <w:right w:val="none" w:sz="0" w:space="0" w:color="auto"/>
      </w:divBdr>
      <w:divsChild>
        <w:div w:id="1384325993">
          <w:marLeft w:val="0"/>
          <w:marRight w:val="0"/>
          <w:marTop w:val="0"/>
          <w:marBottom w:val="0"/>
          <w:divBdr>
            <w:top w:val="none" w:sz="0" w:space="0" w:color="auto"/>
            <w:left w:val="none" w:sz="0" w:space="0" w:color="auto"/>
            <w:bottom w:val="none" w:sz="0" w:space="0" w:color="auto"/>
            <w:right w:val="none" w:sz="0" w:space="0" w:color="auto"/>
          </w:divBdr>
          <w:divsChild>
            <w:div w:id="1921140516">
              <w:marLeft w:val="0"/>
              <w:marRight w:val="0"/>
              <w:marTop w:val="0"/>
              <w:marBottom w:val="0"/>
              <w:divBdr>
                <w:top w:val="none" w:sz="0" w:space="0" w:color="auto"/>
                <w:left w:val="none" w:sz="0" w:space="0" w:color="auto"/>
                <w:bottom w:val="none" w:sz="0" w:space="0" w:color="auto"/>
                <w:right w:val="none" w:sz="0" w:space="0" w:color="auto"/>
              </w:divBdr>
              <w:divsChild>
                <w:div w:id="13759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32731">
      <w:bodyDiv w:val="1"/>
      <w:marLeft w:val="0"/>
      <w:marRight w:val="0"/>
      <w:marTop w:val="0"/>
      <w:marBottom w:val="0"/>
      <w:divBdr>
        <w:top w:val="none" w:sz="0" w:space="0" w:color="auto"/>
        <w:left w:val="none" w:sz="0" w:space="0" w:color="auto"/>
        <w:bottom w:val="none" w:sz="0" w:space="0" w:color="auto"/>
        <w:right w:val="none" w:sz="0" w:space="0" w:color="auto"/>
      </w:divBdr>
      <w:divsChild>
        <w:div w:id="776489809">
          <w:marLeft w:val="0"/>
          <w:marRight w:val="0"/>
          <w:marTop w:val="0"/>
          <w:marBottom w:val="0"/>
          <w:divBdr>
            <w:top w:val="none" w:sz="0" w:space="0" w:color="auto"/>
            <w:left w:val="none" w:sz="0" w:space="0" w:color="auto"/>
            <w:bottom w:val="none" w:sz="0" w:space="0" w:color="auto"/>
            <w:right w:val="none" w:sz="0" w:space="0" w:color="auto"/>
          </w:divBdr>
          <w:divsChild>
            <w:div w:id="1349868124">
              <w:marLeft w:val="0"/>
              <w:marRight w:val="0"/>
              <w:marTop w:val="0"/>
              <w:marBottom w:val="0"/>
              <w:divBdr>
                <w:top w:val="none" w:sz="0" w:space="0" w:color="auto"/>
                <w:left w:val="none" w:sz="0" w:space="0" w:color="auto"/>
                <w:bottom w:val="none" w:sz="0" w:space="0" w:color="auto"/>
                <w:right w:val="none" w:sz="0" w:space="0" w:color="auto"/>
              </w:divBdr>
              <w:divsChild>
                <w:div w:id="1223055919">
                  <w:marLeft w:val="0"/>
                  <w:marRight w:val="0"/>
                  <w:marTop w:val="0"/>
                  <w:marBottom w:val="0"/>
                  <w:divBdr>
                    <w:top w:val="none" w:sz="0" w:space="0" w:color="auto"/>
                    <w:left w:val="none" w:sz="0" w:space="0" w:color="auto"/>
                    <w:bottom w:val="none" w:sz="0" w:space="0" w:color="auto"/>
                    <w:right w:val="none" w:sz="0" w:space="0" w:color="auto"/>
                  </w:divBdr>
                  <w:divsChild>
                    <w:div w:id="86136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574282">
      <w:bodyDiv w:val="1"/>
      <w:marLeft w:val="0"/>
      <w:marRight w:val="0"/>
      <w:marTop w:val="0"/>
      <w:marBottom w:val="0"/>
      <w:divBdr>
        <w:top w:val="none" w:sz="0" w:space="0" w:color="auto"/>
        <w:left w:val="none" w:sz="0" w:space="0" w:color="auto"/>
        <w:bottom w:val="none" w:sz="0" w:space="0" w:color="auto"/>
        <w:right w:val="none" w:sz="0" w:space="0" w:color="auto"/>
      </w:divBdr>
      <w:divsChild>
        <w:div w:id="1765952227">
          <w:marLeft w:val="0"/>
          <w:marRight w:val="0"/>
          <w:marTop w:val="0"/>
          <w:marBottom w:val="0"/>
          <w:divBdr>
            <w:top w:val="none" w:sz="0" w:space="0" w:color="auto"/>
            <w:left w:val="none" w:sz="0" w:space="0" w:color="auto"/>
            <w:bottom w:val="none" w:sz="0" w:space="0" w:color="auto"/>
            <w:right w:val="none" w:sz="0" w:space="0" w:color="auto"/>
          </w:divBdr>
          <w:divsChild>
            <w:div w:id="405153497">
              <w:marLeft w:val="0"/>
              <w:marRight w:val="0"/>
              <w:marTop w:val="0"/>
              <w:marBottom w:val="0"/>
              <w:divBdr>
                <w:top w:val="none" w:sz="0" w:space="0" w:color="auto"/>
                <w:left w:val="none" w:sz="0" w:space="0" w:color="auto"/>
                <w:bottom w:val="none" w:sz="0" w:space="0" w:color="auto"/>
                <w:right w:val="none" w:sz="0" w:space="0" w:color="auto"/>
              </w:divBdr>
              <w:divsChild>
                <w:div w:id="74534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66224">
      <w:bodyDiv w:val="1"/>
      <w:marLeft w:val="0"/>
      <w:marRight w:val="0"/>
      <w:marTop w:val="0"/>
      <w:marBottom w:val="0"/>
      <w:divBdr>
        <w:top w:val="none" w:sz="0" w:space="0" w:color="auto"/>
        <w:left w:val="none" w:sz="0" w:space="0" w:color="auto"/>
        <w:bottom w:val="none" w:sz="0" w:space="0" w:color="auto"/>
        <w:right w:val="none" w:sz="0" w:space="0" w:color="auto"/>
      </w:divBdr>
      <w:divsChild>
        <w:div w:id="1680496873">
          <w:marLeft w:val="0"/>
          <w:marRight w:val="0"/>
          <w:marTop w:val="0"/>
          <w:marBottom w:val="0"/>
          <w:divBdr>
            <w:top w:val="none" w:sz="0" w:space="0" w:color="auto"/>
            <w:left w:val="none" w:sz="0" w:space="0" w:color="auto"/>
            <w:bottom w:val="none" w:sz="0" w:space="0" w:color="auto"/>
            <w:right w:val="none" w:sz="0" w:space="0" w:color="auto"/>
          </w:divBdr>
          <w:divsChild>
            <w:div w:id="859392515">
              <w:marLeft w:val="0"/>
              <w:marRight w:val="0"/>
              <w:marTop w:val="0"/>
              <w:marBottom w:val="0"/>
              <w:divBdr>
                <w:top w:val="none" w:sz="0" w:space="0" w:color="auto"/>
                <w:left w:val="none" w:sz="0" w:space="0" w:color="auto"/>
                <w:bottom w:val="none" w:sz="0" w:space="0" w:color="auto"/>
                <w:right w:val="none" w:sz="0" w:space="0" w:color="auto"/>
              </w:divBdr>
              <w:divsChild>
                <w:div w:id="208687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1632">
      <w:bodyDiv w:val="1"/>
      <w:marLeft w:val="0"/>
      <w:marRight w:val="0"/>
      <w:marTop w:val="0"/>
      <w:marBottom w:val="0"/>
      <w:divBdr>
        <w:top w:val="none" w:sz="0" w:space="0" w:color="auto"/>
        <w:left w:val="none" w:sz="0" w:space="0" w:color="auto"/>
        <w:bottom w:val="none" w:sz="0" w:space="0" w:color="auto"/>
        <w:right w:val="none" w:sz="0" w:space="0" w:color="auto"/>
      </w:divBdr>
      <w:divsChild>
        <w:div w:id="408037489">
          <w:marLeft w:val="0"/>
          <w:marRight w:val="0"/>
          <w:marTop w:val="0"/>
          <w:marBottom w:val="0"/>
          <w:divBdr>
            <w:top w:val="none" w:sz="0" w:space="0" w:color="auto"/>
            <w:left w:val="none" w:sz="0" w:space="0" w:color="auto"/>
            <w:bottom w:val="none" w:sz="0" w:space="0" w:color="auto"/>
            <w:right w:val="none" w:sz="0" w:space="0" w:color="auto"/>
          </w:divBdr>
          <w:divsChild>
            <w:div w:id="1773937457">
              <w:marLeft w:val="0"/>
              <w:marRight w:val="0"/>
              <w:marTop w:val="0"/>
              <w:marBottom w:val="0"/>
              <w:divBdr>
                <w:top w:val="none" w:sz="0" w:space="0" w:color="auto"/>
                <w:left w:val="none" w:sz="0" w:space="0" w:color="auto"/>
                <w:bottom w:val="none" w:sz="0" w:space="0" w:color="auto"/>
                <w:right w:val="none" w:sz="0" w:space="0" w:color="auto"/>
              </w:divBdr>
              <w:divsChild>
                <w:div w:id="4756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74153">
      <w:bodyDiv w:val="1"/>
      <w:marLeft w:val="0"/>
      <w:marRight w:val="0"/>
      <w:marTop w:val="0"/>
      <w:marBottom w:val="0"/>
      <w:divBdr>
        <w:top w:val="none" w:sz="0" w:space="0" w:color="auto"/>
        <w:left w:val="none" w:sz="0" w:space="0" w:color="auto"/>
        <w:bottom w:val="none" w:sz="0" w:space="0" w:color="auto"/>
        <w:right w:val="none" w:sz="0" w:space="0" w:color="auto"/>
      </w:divBdr>
      <w:divsChild>
        <w:div w:id="1588999535">
          <w:marLeft w:val="0"/>
          <w:marRight w:val="0"/>
          <w:marTop w:val="0"/>
          <w:marBottom w:val="0"/>
          <w:divBdr>
            <w:top w:val="none" w:sz="0" w:space="0" w:color="auto"/>
            <w:left w:val="none" w:sz="0" w:space="0" w:color="auto"/>
            <w:bottom w:val="none" w:sz="0" w:space="0" w:color="auto"/>
            <w:right w:val="none" w:sz="0" w:space="0" w:color="auto"/>
          </w:divBdr>
          <w:divsChild>
            <w:div w:id="1027949071">
              <w:marLeft w:val="0"/>
              <w:marRight w:val="0"/>
              <w:marTop w:val="0"/>
              <w:marBottom w:val="0"/>
              <w:divBdr>
                <w:top w:val="none" w:sz="0" w:space="0" w:color="auto"/>
                <w:left w:val="none" w:sz="0" w:space="0" w:color="auto"/>
                <w:bottom w:val="none" w:sz="0" w:space="0" w:color="auto"/>
                <w:right w:val="none" w:sz="0" w:space="0" w:color="auto"/>
              </w:divBdr>
              <w:divsChild>
                <w:div w:id="1171680712">
                  <w:marLeft w:val="0"/>
                  <w:marRight w:val="0"/>
                  <w:marTop w:val="0"/>
                  <w:marBottom w:val="0"/>
                  <w:divBdr>
                    <w:top w:val="none" w:sz="0" w:space="0" w:color="auto"/>
                    <w:left w:val="none" w:sz="0" w:space="0" w:color="auto"/>
                    <w:bottom w:val="none" w:sz="0" w:space="0" w:color="auto"/>
                    <w:right w:val="none" w:sz="0" w:space="0" w:color="auto"/>
                  </w:divBdr>
                  <w:divsChild>
                    <w:div w:id="108314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407227">
      <w:bodyDiv w:val="1"/>
      <w:marLeft w:val="0"/>
      <w:marRight w:val="0"/>
      <w:marTop w:val="0"/>
      <w:marBottom w:val="0"/>
      <w:divBdr>
        <w:top w:val="none" w:sz="0" w:space="0" w:color="auto"/>
        <w:left w:val="none" w:sz="0" w:space="0" w:color="auto"/>
        <w:bottom w:val="none" w:sz="0" w:space="0" w:color="auto"/>
        <w:right w:val="none" w:sz="0" w:space="0" w:color="auto"/>
      </w:divBdr>
      <w:divsChild>
        <w:div w:id="1493569714">
          <w:marLeft w:val="0"/>
          <w:marRight w:val="0"/>
          <w:marTop w:val="0"/>
          <w:marBottom w:val="0"/>
          <w:divBdr>
            <w:top w:val="none" w:sz="0" w:space="0" w:color="auto"/>
            <w:left w:val="none" w:sz="0" w:space="0" w:color="auto"/>
            <w:bottom w:val="none" w:sz="0" w:space="0" w:color="auto"/>
            <w:right w:val="none" w:sz="0" w:space="0" w:color="auto"/>
          </w:divBdr>
          <w:divsChild>
            <w:div w:id="2088259645">
              <w:marLeft w:val="0"/>
              <w:marRight w:val="0"/>
              <w:marTop w:val="0"/>
              <w:marBottom w:val="0"/>
              <w:divBdr>
                <w:top w:val="none" w:sz="0" w:space="0" w:color="auto"/>
                <w:left w:val="none" w:sz="0" w:space="0" w:color="auto"/>
                <w:bottom w:val="none" w:sz="0" w:space="0" w:color="auto"/>
                <w:right w:val="none" w:sz="0" w:space="0" w:color="auto"/>
              </w:divBdr>
              <w:divsChild>
                <w:div w:id="214361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93191">
      <w:bodyDiv w:val="1"/>
      <w:marLeft w:val="0"/>
      <w:marRight w:val="0"/>
      <w:marTop w:val="0"/>
      <w:marBottom w:val="0"/>
      <w:divBdr>
        <w:top w:val="none" w:sz="0" w:space="0" w:color="auto"/>
        <w:left w:val="none" w:sz="0" w:space="0" w:color="auto"/>
        <w:bottom w:val="none" w:sz="0" w:space="0" w:color="auto"/>
        <w:right w:val="none" w:sz="0" w:space="0" w:color="auto"/>
      </w:divBdr>
      <w:divsChild>
        <w:div w:id="2026129369">
          <w:marLeft w:val="0"/>
          <w:marRight w:val="0"/>
          <w:marTop w:val="0"/>
          <w:marBottom w:val="0"/>
          <w:divBdr>
            <w:top w:val="none" w:sz="0" w:space="0" w:color="auto"/>
            <w:left w:val="none" w:sz="0" w:space="0" w:color="auto"/>
            <w:bottom w:val="none" w:sz="0" w:space="0" w:color="auto"/>
            <w:right w:val="none" w:sz="0" w:space="0" w:color="auto"/>
          </w:divBdr>
          <w:divsChild>
            <w:div w:id="1159469037">
              <w:marLeft w:val="0"/>
              <w:marRight w:val="0"/>
              <w:marTop w:val="0"/>
              <w:marBottom w:val="0"/>
              <w:divBdr>
                <w:top w:val="none" w:sz="0" w:space="0" w:color="auto"/>
                <w:left w:val="none" w:sz="0" w:space="0" w:color="auto"/>
                <w:bottom w:val="none" w:sz="0" w:space="0" w:color="auto"/>
                <w:right w:val="none" w:sz="0" w:space="0" w:color="auto"/>
              </w:divBdr>
              <w:divsChild>
                <w:div w:id="52613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16767">
      <w:bodyDiv w:val="1"/>
      <w:marLeft w:val="0"/>
      <w:marRight w:val="0"/>
      <w:marTop w:val="0"/>
      <w:marBottom w:val="0"/>
      <w:divBdr>
        <w:top w:val="none" w:sz="0" w:space="0" w:color="auto"/>
        <w:left w:val="none" w:sz="0" w:space="0" w:color="auto"/>
        <w:bottom w:val="none" w:sz="0" w:space="0" w:color="auto"/>
        <w:right w:val="none" w:sz="0" w:space="0" w:color="auto"/>
      </w:divBdr>
      <w:divsChild>
        <w:div w:id="1800879628">
          <w:marLeft w:val="0"/>
          <w:marRight w:val="0"/>
          <w:marTop w:val="0"/>
          <w:marBottom w:val="0"/>
          <w:divBdr>
            <w:top w:val="none" w:sz="0" w:space="0" w:color="auto"/>
            <w:left w:val="none" w:sz="0" w:space="0" w:color="auto"/>
            <w:bottom w:val="none" w:sz="0" w:space="0" w:color="auto"/>
            <w:right w:val="none" w:sz="0" w:space="0" w:color="auto"/>
          </w:divBdr>
          <w:divsChild>
            <w:div w:id="1656757806">
              <w:marLeft w:val="0"/>
              <w:marRight w:val="0"/>
              <w:marTop w:val="0"/>
              <w:marBottom w:val="0"/>
              <w:divBdr>
                <w:top w:val="none" w:sz="0" w:space="0" w:color="auto"/>
                <w:left w:val="none" w:sz="0" w:space="0" w:color="auto"/>
                <w:bottom w:val="none" w:sz="0" w:space="0" w:color="auto"/>
                <w:right w:val="none" w:sz="0" w:space="0" w:color="auto"/>
              </w:divBdr>
              <w:divsChild>
                <w:div w:id="187383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5996">
      <w:bodyDiv w:val="1"/>
      <w:marLeft w:val="0"/>
      <w:marRight w:val="0"/>
      <w:marTop w:val="0"/>
      <w:marBottom w:val="0"/>
      <w:divBdr>
        <w:top w:val="none" w:sz="0" w:space="0" w:color="auto"/>
        <w:left w:val="none" w:sz="0" w:space="0" w:color="auto"/>
        <w:bottom w:val="none" w:sz="0" w:space="0" w:color="auto"/>
        <w:right w:val="none" w:sz="0" w:space="0" w:color="auto"/>
      </w:divBdr>
      <w:divsChild>
        <w:div w:id="52511732">
          <w:marLeft w:val="0"/>
          <w:marRight w:val="0"/>
          <w:marTop w:val="0"/>
          <w:marBottom w:val="0"/>
          <w:divBdr>
            <w:top w:val="none" w:sz="0" w:space="0" w:color="auto"/>
            <w:left w:val="none" w:sz="0" w:space="0" w:color="auto"/>
            <w:bottom w:val="none" w:sz="0" w:space="0" w:color="auto"/>
            <w:right w:val="none" w:sz="0" w:space="0" w:color="auto"/>
          </w:divBdr>
          <w:divsChild>
            <w:div w:id="1534877926">
              <w:marLeft w:val="0"/>
              <w:marRight w:val="0"/>
              <w:marTop w:val="0"/>
              <w:marBottom w:val="0"/>
              <w:divBdr>
                <w:top w:val="none" w:sz="0" w:space="0" w:color="auto"/>
                <w:left w:val="none" w:sz="0" w:space="0" w:color="auto"/>
                <w:bottom w:val="none" w:sz="0" w:space="0" w:color="auto"/>
                <w:right w:val="none" w:sz="0" w:space="0" w:color="auto"/>
              </w:divBdr>
              <w:divsChild>
                <w:div w:id="169811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5461">
      <w:bodyDiv w:val="1"/>
      <w:marLeft w:val="0"/>
      <w:marRight w:val="0"/>
      <w:marTop w:val="0"/>
      <w:marBottom w:val="0"/>
      <w:divBdr>
        <w:top w:val="none" w:sz="0" w:space="0" w:color="auto"/>
        <w:left w:val="none" w:sz="0" w:space="0" w:color="auto"/>
        <w:bottom w:val="none" w:sz="0" w:space="0" w:color="auto"/>
        <w:right w:val="none" w:sz="0" w:space="0" w:color="auto"/>
      </w:divBdr>
    </w:div>
    <w:div w:id="2104564995">
      <w:bodyDiv w:val="1"/>
      <w:marLeft w:val="0"/>
      <w:marRight w:val="0"/>
      <w:marTop w:val="0"/>
      <w:marBottom w:val="0"/>
      <w:divBdr>
        <w:top w:val="none" w:sz="0" w:space="0" w:color="auto"/>
        <w:left w:val="none" w:sz="0" w:space="0" w:color="auto"/>
        <w:bottom w:val="none" w:sz="0" w:space="0" w:color="auto"/>
        <w:right w:val="none" w:sz="0" w:space="0" w:color="auto"/>
      </w:divBdr>
      <w:divsChild>
        <w:div w:id="249969101">
          <w:marLeft w:val="0"/>
          <w:marRight w:val="0"/>
          <w:marTop w:val="0"/>
          <w:marBottom w:val="0"/>
          <w:divBdr>
            <w:top w:val="none" w:sz="0" w:space="0" w:color="auto"/>
            <w:left w:val="none" w:sz="0" w:space="0" w:color="auto"/>
            <w:bottom w:val="none" w:sz="0" w:space="0" w:color="auto"/>
            <w:right w:val="none" w:sz="0" w:space="0" w:color="auto"/>
          </w:divBdr>
          <w:divsChild>
            <w:div w:id="861473486">
              <w:marLeft w:val="0"/>
              <w:marRight w:val="0"/>
              <w:marTop w:val="0"/>
              <w:marBottom w:val="0"/>
              <w:divBdr>
                <w:top w:val="none" w:sz="0" w:space="0" w:color="auto"/>
                <w:left w:val="none" w:sz="0" w:space="0" w:color="auto"/>
                <w:bottom w:val="none" w:sz="0" w:space="0" w:color="auto"/>
                <w:right w:val="none" w:sz="0" w:space="0" w:color="auto"/>
              </w:divBdr>
              <w:divsChild>
                <w:div w:id="17725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73664">
      <w:bodyDiv w:val="1"/>
      <w:marLeft w:val="0"/>
      <w:marRight w:val="0"/>
      <w:marTop w:val="0"/>
      <w:marBottom w:val="0"/>
      <w:divBdr>
        <w:top w:val="none" w:sz="0" w:space="0" w:color="auto"/>
        <w:left w:val="none" w:sz="0" w:space="0" w:color="auto"/>
        <w:bottom w:val="none" w:sz="0" w:space="0" w:color="auto"/>
        <w:right w:val="none" w:sz="0" w:space="0" w:color="auto"/>
      </w:divBdr>
      <w:divsChild>
        <w:div w:id="2071536702">
          <w:marLeft w:val="0"/>
          <w:marRight w:val="0"/>
          <w:marTop w:val="0"/>
          <w:marBottom w:val="0"/>
          <w:divBdr>
            <w:top w:val="none" w:sz="0" w:space="0" w:color="auto"/>
            <w:left w:val="none" w:sz="0" w:space="0" w:color="auto"/>
            <w:bottom w:val="none" w:sz="0" w:space="0" w:color="auto"/>
            <w:right w:val="none" w:sz="0" w:space="0" w:color="auto"/>
          </w:divBdr>
          <w:divsChild>
            <w:div w:id="1906377204">
              <w:marLeft w:val="0"/>
              <w:marRight w:val="0"/>
              <w:marTop w:val="0"/>
              <w:marBottom w:val="0"/>
              <w:divBdr>
                <w:top w:val="none" w:sz="0" w:space="0" w:color="auto"/>
                <w:left w:val="none" w:sz="0" w:space="0" w:color="auto"/>
                <w:bottom w:val="none" w:sz="0" w:space="0" w:color="auto"/>
                <w:right w:val="none" w:sz="0" w:space="0" w:color="auto"/>
              </w:divBdr>
              <w:divsChild>
                <w:div w:id="2333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043818">
      <w:bodyDiv w:val="1"/>
      <w:marLeft w:val="0"/>
      <w:marRight w:val="0"/>
      <w:marTop w:val="0"/>
      <w:marBottom w:val="0"/>
      <w:divBdr>
        <w:top w:val="none" w:sz="0" w:space="0" w:color="auto"/>
        <w:left w:val="none" w:sz="0" w:space="0" w:color="auto"/>
        <w:bottom w:val="none" w:sz="0" w:space="0" w:color="auto"/>
        <w:right w:val="none" w:sz="0" w:space="0" w:color="auto"/>
      </w:divBdr>
      <w:divsChild>
        <w:div w:id="1140882994">
          <w:marLeft w:val="0"/>
          <w:marRight w:val="0"/>
          <w:marTop w:val="0"/>
          <w:marBottom w:val="0"/>
          <w:divBdr>
            <w:top w:val="none" w:sz="0" w:space="0" w:color="auto"/>
            <w:left w:val="none" w:sz="0" w:space="0" w:color="auto"/>
            <w:bottom w:val="none" w:sz="0" w:space="0" w:color="auto"/>
            <w:right w:val="none" w:sz="0" w:space="0" w:color="auto"/>
          </w:divBdr>
          <w:divsChild>
            <w:div w:id="1375933373">
              <w:marLeft w:val="0"/>
              <w:marRight w:val="0"/>
              <w:marTop w:val="0"/>
              <w:marBottom w:val="0"/>
              <w:divBdr>
                <w:top w:val="none" w:sz="0" w:space="0" w:color="auto"/>
                <w:left w:val="none" w:sz="0" w:space="0" w:color="auto"/>
                <w:bottom w:val="none" w:sz="0" w:space="0" w:color="auto"/>
                <w:right w:val="none" w:sz="0" w:space="0" w:color="auto"/>
              </w:divBdr>
              <w:divsChild>
                <w:div w:id="13290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373989">
      <w:bodyDiv w:val="1"/>
      <w:marLeft w:val="0"/>
      <w:marRight w:val="0"/>
      <w:marTop w:val="0"/>
      <w:marBottom w:val="0"/>
      <w:divBdr>
        <w:top w:val="none" w:sz="0" w:space="0" w:color="auto"/>
        <w:left w:val="none" w:sz="0" w:space="0" w:color="auto"/>
        <w:bottom w:val="none" w:sz="0" w:space="0" w:color="auto"/>
        <w:right w:val="none" w:sz="0" w:space="0" w:color="auto"/>
      </w:divBdr>
      <w:divsChild>
        <w:div w:id="1882402953">
          <w:marLeft w:val="0"/>
          <w:marRight w:val="0"/>
          <w:marTop w:val="0"/>
          <w:marBottom w:val="0"/>
          <w:divBdr>
            <w:top w:val="none" w:sz="0" w:space="0" w:color="auto"/>
            <w:left w:val="none" w:sz="0" w:space="0" w:color="auto"/>
            <w:bottom w:val="none" w:sz="0" w:space="0" w:color="auto"/>
            <w:right w:val="none" w:sz="0" w:space="0" w:color="auto"/>
          </w:divBdr>
          <w:divsChild>
            <w:div w:id="2071464516">
              <w:marLeft w:val="0"/>
              <w:marRight w:val="0"/>
              <w:marTop w:val="0"/>
              <w:marBottom w:val="0"/>
              <w:divBdr>
                <w:top w:val="none" w:sz="0" w:space="0" w:color="auto"/>
                <w:left w:val="none" w:sz="0" w:space="0" w:color="auto"/>
                <w:bottom w:val="none" w:sz="0" w:space="0" w:color="auto"/>
                <w:right w:val="none" w:sz="0" w:space="0" w:color="auto"/>
              </w:divBdr>
              <w:divsChild>
                <w:div w:id="48728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08714">
      <w:bodyDiv w:val="1"/>
      <w:marLeft w:val="0"/>
      <w:marRight w:val="0"/>
      <w:marTop w:val="0"/>
      <w:marBottom w:val="0"/>
      <w:divBdr>
        <w:top w:val="none" w:sz="0" w:space="0" w:color="auto"/>
        <w:left w:val="none" w:sz="0" w:space="0" w:color="auto"/>
        <w:bottom w:val="none" w:sz="0" w:space="0" w:color="auto"/>
        <w:right w:val="none" w:sz="0" w:space="0" w:color="auto"/>
      </w:divBdr>
      <w:divsChild>
        <w:div w:id="1324696604">
          <w:marLeft w:val="0"/>
          <w:marRight w:val="0"/>
          <w:marTop w:val="0"/>
          <w:marBottom w:val="0"/>
          <w:divBdr>
            <w:top w:val="none" w:sz="0" w:space="0" w:color="auto"/>
            <w:left w:val="none" w:sz="0" w:space="0" w:color="auto"/>
            <w:bottom w:val="none" w:sz="0" w:space="0" w:color="auto"/>
            <w:right w:val="none" w:sz="0" w:space="0" w:color="auto"/>
          </w:divBdr>
          <w:divsChild>
            <w:div w:id="1997684616">
              <w:marLeft w:val="0"/>
              <w:marRight w:val="0"/>
              <w:marTop w:val="0"/>
              <w:marBottom w:val="0"/>
              <w:divBdr>
                <w:top w:val="none" w:sz="0" w:space="0" w:color="auto"/>
                <w:left w:val="none" w:sz="0" w:space="0" w:color="auto"/>
                <w:bottom w:val="none" w:sz="0" w:space="0" w:color="auto"/>
                <w:right w:val="none" w:sz="0" w:space="0" w:color="auto"/>
              </w:divBdr>
              <w:divsChild>
                <w:div w:id="15724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uspto.gov/blog/director/entry/re_inventing_the_us_patent" TargetMode="External"/><Relationship Id="rId3" Type="http://schemas.openxmlformats.org/officeDocument/2006/relationships/hyperlink" Target="https://npe.law.stanford.edu" TargetMode="External"/><Relationship Id="rId7" Type="http://schemas.openxmlformats.org/officeDocument/2006/relationships/hyperlink" Target="https://ssrn.com/abstract=2942295" TargetMode="External"/><Relationship Id="rId2" Type="http://schemas.openxmlformats.org/officeDocument/2006/relationships/hyperlink" Target="https://developer.uspto.gov/ptab-api/swagger-ui.html" TargetMode="External"/><Relationship Id="rId1" Type="http://schemas.openxmlformats.org/officeDocument/2006/relationships/hyperlink" Target="https://www.uspto.gov/sites/default/files/documents/ex_parte_historical_stats_roll_up.pdf" TargetMode="External"/><Relationship Id="rId6" Type="http://schemas.openxmlformats.org/officeDocument/2006/relationships/hyperlink" Target="https://papers.ssrn.com/sol3/papers.cfm?abstract_id=3507607" TargetMode="External"/><Relationship Id="rId5" Type="http://schemas.openxmlformats.org/officeDocument/2006/relationships/hyperlink" Target="https://www.uspto.gov/learning-and-resources/electronic-data-products/patent-litigation-docket-reports-data" TargetMode="External"/><Relationship Id="rId4" Type="http://schemas.openxmlformats.org/officeDocument/2006/relationships/hyperlink" Target="https://www.fjc.gov/research/idb" TargetMode="External"/><Relationship Id="rId9" Type="http://schemas.openxmlformats.org/officeDocument/2006/relationships/hyperlink" Target="http://www.federalpa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DDAA0-2D06-964E-ACF3-82960E29A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69</Pages>
  <Words>19780</Words>
  <Characters>112746</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UCLA School of Law</Company>
  <LinksUpToDate>false</LinksUpToDate>
  <CharactersWithSpaces>132262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Kim</dc:creator>
  <cp:keywords/>
  <dc:description/>
  <cp:lastModifiedBy>Amy Semet</cp:lastModifiedBy>
  <cp:revision>3</cp:revision>
  <cp:lastPrinted>2021-11-01T02:16:00Z</cp:lastPrinted>
  <dcterms:created xsi:type="dcterms:W3CDTF">2025-02-01T01:01:00Z</dcterms:created>
  <dcterms:modified xsi:type="dcterms:W3CDTF">2025-02-01T01:10:00Z</dcterms:modified>
</cp:coreProperties>
</file>